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12" w:rsidRPr="00387DAB" w:rsidRDefault="008B3E65">
      <w:pPr>
        <w:ind w:left="167"/>
        <w:rPr>
          <w:rFonts w:ascii="Times New Roman"/>
          <w:sz w:val="20"/>
        </w:rPr>
      </w:pPr>
      <w:bookmarkStart w:id="0" w:name="_GoBack"/>
      <w:bookmarkEnd w:id="0"/>
      <w:r w:rsidRPr="00387DAB">
        <w:rPr>
          <w:rFonts w:ascii="Times New Roman"/>
          <w:noProof/>
          <w:sz w:val="20"/>
          <w:lang w:val="fr-FR" w:eastAsia="fr-FR"/>
        </w:rPr>
        <w:drawing>
          <wp:inline distT="0" distB="0" distL="0" distR="0">
            <wp:extent cx="2742437" cy="5732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742437" cy="573214"/>
                    </a:xfrm>
                    <a:prstGeom prst="rect">
                      <a:avLst/>
                    </a:prstGeom>
                  </pic:spPr>
                </pic:pic>
              </a:graphicData>
            </a:graphic>
          </wp:inline>
        </w:drawing>
      </w:r>
    </w:p>
    <w:p w:rsidR="00445C12" w:rsidRPr="00387DAB" w:rsidRDefault="00445C12">
      <w:pPr>
        <w:spacing w:before="5"/>
        <w:rPr>
          <w:rFonts w:ascii="Times New Roman"/>
          <w:sz w:val="29"/>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445C12" w:rsidRPr="00F55F3A" w:rsidTr="0035327D">
        <w:trPr>
          <w:trHeight w:hRule="exact" w:val="3302"/>
        </w:trPr>
        <w:tc>
          <w:tcPr>
            <w:tcW w:w="9213" w:type="dxa"/>
            <w:shd w:val="clear" w:color="auto" w:fill="2F2A85"/>
          </w:tcPr>
          <w:p w:rsidR="0035327D" w:rsidRDefault="0035327D" w:rsidP="00E762C1">
            <w:pPr>
              <w:pStyle w:val="TableParagraph"/>
              <w:tabs>
                <w:tab w:val="center" w:pos="4014"/>
              </w:tabs>
              <w:spacing w:before="0"/>
              <w:ind w:left="0" w:firstLine="0"/>
              <w:jc w:val="center"/>
              <w:rPr>
                <w:b/>
                <w:sz w:val="28"/>
                <w:lang w:val="fr-FR"/>
              </w:rPr>
            </w:pPr>
          </w:p>
          <w:p w:rsidR="003E72E0" w:rsidRPr="00E762C1" w:rsidRDefault="00E762C1" w:rsidP="00E762C1">
            <w:pPr>
              <w:pStyle w:val="TableParagraph"/>
              <w:tabs>
                <w:tab w:val="center" w:pos="4014"/>
              </w:tabs>
              <w:spacing w:before="0"/>
              <w:ind w:left="0" w:firstLine="0"/>
              <w:jc w:val="center"/>
              <w:rPr>
                <w:b/>
                <w:sz w:val="28"/>
                <w:lang w:val="fr-FR"/>
              </w:rPr>
            </w:pPr>
            <w:proofErr w:type="spellStart"/>
            <w:r w:rsidRPr="00E762C1">
              <w:rPr>
                <w:b/>
                <w:sz w:val="28"/>
                <w:lang w:val="fr-FR"/>
              </w:rPr>
              <w:t>Ingénieur-e</w:t>
            </w:r>
            <w:proofErr w:type="spellEnd"/>
            <w:r w:rsidRPr="00E762C1">
              <w:rPr>
                <w:b/>
                <w:sz w:val="28"/>
                <w:lang w:val="fr-FR"/>
              </w:rPr>
              <w:t xml:space="preserve"> de recherche en production, traitement et analyse de données massives issues de sources hétérogènes, sur les territoires, les mobilités et les transports et les impacts environnementaux.</w:t>
            </w:r>
          </w:p>
          <w:p w:rsidR="00F55F3A" w:rsidRPr="00F55F3A" w:rsidRDefault="00F55F3A" w:rsidP="00F55F3A">
            <w:pPr>
              <w:spacing w:before="120"/>
              <w:ind w:right="-8"/>
              <w:jc w:val="center"/>
              <w:rPr>
                <w:b/>
                <w:lang w:val="fr-FR"/>
              </w:rPr>
            </w:pPr>
            <w:r w:rsidRPr="00F55F3A">
              <w:rPr>
                <w:b/>
                <w:lang w:val="fr-FR"/>
              </w:rPr>
              <w:t xml:space="preserve">Département </w:t>
            </w:r>
            <w:r w:rsidR="00E762C1">
              <w:rPr>
                <w:b/>
                <w:lang w:val="fr-FR"/>
              </w:rPr>
              <w:t>AME</w:t>
            </w:r>
            <w:r w:rsidRPr="00F55F3A">
              <w:rPr>
                <w:b/>
                <w:lang w:val="fr-FR"/>
              </w:rPr>
              <w:t xml:space="preserve"> - </w:t>
            </w:r>
          </w:p>
          <w:p w:rsidR="00F55F3A" w:rsidRDefault="000B3761" w:rsidP="00F55F3A">
            <w:pPr>
              <w:ind w:right="-8"/>
              <w:jc w:val="center"/>
              <w:rPr>
                <w:b/>
                <w:lang w:val="fr-FR"/>
              </w:rPr>
            </w:pPr>
            <w:r>
              <w:rPr>
                <w:b/>
                <w:lang w:val="fr-FR"/>
              </w:rPr>
              <w:t>Champs-sur-Marne (77)</w:t>
            </w:r>
          </w:p>
          <w:p w:rsidR="00F55F3A" w:rsidRPr="00F55F3A" w:rsidRDefault="00F55F3A" w:rsidP="00F55F3A">
            <w:pPr>
              <w:ind w:right="-8"/>
              <w:jc w:val="center"/>
              <w:rPr>
                <w:b/>
                <w:lang w:val="fr-FR"/>
              </w:rPr>
            </w:pPr>
          </w:p>
          <w:p w:rsidR="003E72E0" w:rsidRPr="000B3761" w:rsidRDefault="00F55F3A" w:rsidP="0035327D">
            <w:pPr>
              <w:pStyle w:val="TableParagraph"/>
              <w:spacing w:before="45"/>
              <w:ind w:left="1173"/>
              <w:jc w:val="center"/>
              <w:rPr>
                <w:b/>
                <w:lang w:val="fr-FR"/>
              </w:rPr>
            </w:pPr>
            <w:r w:rsidRPr="00F55F3A">
              <w:rPr>
                <w:b/>
                <w:color w:val="FFFFFF"/>
                <w:lang w:val="fr-FR"/>
              </w:rPr>
              <w:t xml:space="preserve">Catégorie A – </w:t>
            </w:r>
            <w:r w:rsidRPr="00F55F3A">
              <w:rPr>
                <w:b/>
                <w:bCs/>
                <w:color w:val="FFFFFF"/>
                <w:lang w:val="fr-FR"/>
              </w:rPr>
              <w:t>BAP</w:t>
            </w:r>
            <w:r w:rsidR="00E762C1">
              <w:rPr>
                <w:b/>
                <w:bCs/>
                <w:color w:val="FFFFFF"/>
                <w:lang w:val="fr-FR"/>
              </w:rPr>
              <w:t xml:space="preserve"> E</w:t>
            </w:r>
            <w:r w:rsidRPr="00F55F3A">
              <w:rPr>
                <w:b/>
                <w:bCs/>
                <w:color w:val="FFFFFF"/>
                <w:lang w:val="fr-FR"/>
              </w:rPr>
              <w:t xml:space="preserve"> (</w:t>
            </w:r>
            <w:r w:rsidR="00E762C1" w:rsidRPr="00E762C1">
              <w:rPr>
                <w:b/>
                <w:lang w:val="fr-FR"/>
              </w:rPr>
              <w:t>Informatique, Statistique et Calcul scientifique</w:t>
            </w:r>
            <w:r w:rsidR="000B3761">
              <w:rPr>
                <w:b/>
                <w:lang w:val="fr-FR"/>
              </w:rPr>
              <w:t>)</w:t>
            </w:r>
          </w:p>
          <w:p w:rsidR="003E72E0" w:rsidRPr="003E72E0" w:rsidRDefault="003E72E0" w:rsidP="003E72E0">
            <w:pPr>
              <w:pStyle w:val="TableParagraph"/>
              <w:spacing w:before="45"/>
              <w:ind w:left="1173" w:right="1174"/>
              <w:jc w:val="center"/>
              <w:rPr>
                <w:b/>
                <w:sz w:val="20"/>
                <w:lang w:val="fr-FR"/>
              </w:rPr>
            </w:pPr>
          </w:p>
          <w:p w:rsidR="003E72E0" w:rsidRPr="00D02F6E" w:rsidRDefault="003E72E0" w:rsidP="00630C80">
            <w:pPr>
              <w:pStyle w:val="TableParagraph"/>
              <w:spacing w:before="45"/>
              <w:ind w:left="1173" w:right="1174"/>
              <w:jc w:val="center"/>
              <w:rPr>
                <w:b/>
                <w:sz w:val="20"/>
                <w:lang w:val="fr-FR"/>
              </w:rPr>
            </w:pPr>
          </w:p>
        </w:tc>
      </w:tr>
      <w:tr w:rsidR="00445C12" w:rsidRPr="00D02F6E" w:rsidTr="003E72E0">
        <w:trPr>
          <w:trHeight w:hRule="exact" w:val="423"/>
        </w:trPr>
        <w:tc>
          <w:tcPr>
            <w:tcW w:w="9213" w:type="dxa"/>
            <w:shd w:val="clear" w:color="auto" w:fill="1EAFD0"/>
          </w:tcPr>
          <w:p w:rsidR="00445C12" w:rsidRPr="00D02F6E" w:rsidRDefault="008B3E65">
            <w:pPr>
              <w:pStyle w:val="TableParagraph"/>
              <w:spacing w:before="21"/>
              <w:ind w:left="103" w:firstLine="0"/>
              <w:rPr>
                <w:b/>
                <w:color w:val="FFFFFF" w:themeColor="background1"/>
                <w:lang w:val="fr-FR"/>
              </w:rPr>
            </w:pPr>
            <w:r w:rsidRPr="00D02F6E">
              <w:rPr>
                <w:b/>
                <w:color w:val="FFFFFF" w:themeColor="background1"/>
                <w:lang w:val="fr-FR"/>
              </w:rPr>
              <w:t>Définition de l’emploi :</w:t>
            </w:r>
          </w:p>
        </w:tc>
      </w:tr>
      <w:tr w:rsidR="00445C12" w:rsidRPr="00E762C1" w:rsidTr="0035327D">
        <w:trPr>
          <w:trHeight w:hRule="exact" w:val="10358"/>
        </w:trPr>
        <w:tc>
          <w:tcPr>
            <w:tcW w:w="9213" w:type="dxa"/>
          </w:tcPr>
          <w:p w:rsidR="000B3761" w:rsidRPr="000B3761" w:rsidRDefault="000B3761" w:rsidP="000B3761">
            <w:pPr>
              <w:pStyle w:val="TableParagraph"/>
              <w:tabs>
                <w:tab w:val="left" w:pos="387"/>
              </w:tabs>
              <w:spacing w:before="173"/>
              <w:ind w:right="385" w:firstLine="0"/>
              <w:jc w:val="both"/>
              <w:rPr>
                <w:color w:val="2F2A85"/>
                <w:sz w:val="20"/>
                <w:lang w:val="fr-FR"/>
              </w:rPr>
            </w:pPr>
            <w:r w:rsidRPr="000B3761">
              <w:rPr>
                <w:color w:val="2F2A85"/>
                <w:sz w:val="20"/>
                <w:lang w:val="fr-FR"/>
              </w:rPr>
              <w:t>Acteur majeur de la recherche européenne sur la ville et les territoires, les transports et le génie civil, l’université Gustave Eiffel, née de la fusion de l’UPEM et de l’</w:t>
            </w:r>
            <w:proofErr w:type="spellStart"/>
            <w:r w:rsidRPr="000B3761">
              <w:rPr>
                <w:color w:val="2F2A85"/>
                <w:sz w:val="20"/>
                <w:lang w:val="fr-FR"/>
              </w:rPr>
              <w:t>Ifsttar</w:t>
            </w:r>
            <w:proofErr w:type="spellEnd"/>
            <w:r w:rsidRPr="000B3761">
              <w:rPr>
                <w:color w:val="2F2A85"/>
                <w:sz w:val="20"/>
                <w:lang w:val="fr-FR"/>
              </w:rPr>
              <w:t xml:space="preserve"> (Institut français des sciences et technologies des transports, de l’aménagement et des réseaux), est une université nationale. Parmi ses structures de recherche se trouve le département AME (aménagement, mobilité, environnement), regroupant plusieurs laboratoires SPI et SHS, localisés sur les campus de Versailles, Marne-La-Vallée, Nantes et Bron.</w:t>
            </w:r>
          </w:p>
          <w:p w:rsidR="000B3761" w:rsidRPr="000B3761" w:rsidRDefault="000B3761" w:rsidP="000B3761">
            <w:pPr>
              <w:pStyle w:val="TableParagraph"/>
              <w:tabs>
                <w:tab w:val="left" w:pos="387"/>
              </w:tabs>
              <w:spacing w:before="173"/>
              <w:ind w:right="385" w:firstLine="0"/>
              <w:jc w:val="both"/>
              <w:rPr>
                <w:color w:val="2F2A85"/>
                <w:sz w:val="20"/>
                <w:lang w:val="fr-FR"/>
              </w:rPr>
            </w:pPr>
            <w:r w:rsidRPr="000B3761">
              <w:rPr>
                <w:color w:val="2F2A85"/>
                <w:sz w:val="20"/>
                <w:lang w:val="fr-FR"/>
              </w:rPr>
              <w:t>Les recherches du département AME portent sur le transport et la mobilité des personnes et des marchandises, considérés dans leurs interrelations avec les environnements construits et les systèmes sociotechniques sur lesquels ils reposent, comme avec l’environnement naturel. Les compétences mobilisées sont diverses : sciences humaines, sciences sociales, sciences pour l'ingénieur, sciences de l'environnement.</w:t>
            </w:r>
          </w:p>
          <w:p w:rsidR="000B3761" w:rsidRPr="000B3761" w:rsidRDefault="000B3761" w:rsidP="000B3761">
            <w:pPr>
              <w:pStyle w:val="TableParagraph"/>
              <w:tabs>
                <w:tab w:val="left" w:pos="387"/>
              </w:tabs>
              <w:spacing w:before="173"/>
              <w:ind w:right="385" w:firstLine="0"/>
              <w:jc w:val="both"/>
              <w:rPr>
                <w:color w:val="2F2A85"/>
                <w:sz w:val="20"/>
                <w:lang w:val="fr-FR"/>
              </w:rPr>
            </w:pPr>
            <w:r w:rsidRPr="000B3761">
              <w:rPr>
                <w:color w:val="2F2A85"/>
                <w:sz w:val="20"/>
                <w:lang w:val="fr-FR"/>
              </w:rPr>
              <w:t>La constitution et l’analyse de bases de données sur les territoires, les acteurs publics et privés, les modes de vie, les mobilités, les infrastructures et systèmes de transport, les impacts environnementaux… sont au cœur de nombreuses recherches menées au sein du département AME à des fins d’analyse, de simulation, d’évaluation et de modélisation. Or, avec l’essor du numérique, le développement de réseaux de capteurs, la smart-city, l’infrastructure connectée et communicante, les techniques de recueil ainsi que les sources donnant accès à ces données connaissent une démultiplication et une massification sans précédent, qui posent de nouveaux défis à la recherche. Ces évolutions soulèvent, par exemple, les questions de l’évolution des méthodes de recueil de ces données et des interactions avec les méthodes plus traditionnelles (questionnaires, par exemple), ou encore de l’identification, l’accès et la mise en forme des nouvelles données issues des pratiques numériques (smartphone, réseaux sociaux, applications d’aide à la mobilité, systèmes d’information d’opérateurs de transport ou d’autres entreprises, etc.), de l’analyse croisée de données pour produire de nouvelles connaissances, et même de l’évaluation de la qualité de ces données (cohérence, précision, redondance, représentativité).</w:t>
            </w:r>
          </w:p>
          <w:p w:rsidR="000B3761" w:rsidRPr="000B3761" w:rsidRDefault="000B3761" w:rsidP="000B3761">
            <w:pPr>
              <w:pStyle w:val="TableParagraph"/>
              <w:tabs>
                <w:tab w:val="left" w:pos="387"/>
              </w:tabs>
              <w:spacing w:before="173"/>
              <w:ind w:right="385" w:firstLine="0"/>
              <w:jc w:val="both"/>
              <w:rPr>
                <w:color w:val="2F2A85"/>
                <w:sz w:val="20"/>
                <w:lang w:val="fr-FR"/>
              </w:rPr>
            </w:pPr>
            <w:r w:rsidRPr="000B3761">
              <w:rPr>
                <w:color w:val="2F2A85"/>
                <w:sz w:val="20"/>
                <w:lang w:val="fr-FR"/>
              </w:rPr>
              <w:t xml:space="preserve">L’IR recruté(e) mettra en œuvre ses compétences en participant à des projets de recherche portés par les laboratoires du département AME, portant, par exemple, sur le renouvellement des enquêtes de mobilité par les traces numériques ; la connaissance des pratiques de mobilité en lien avec l’émergence des « nouveaux services de mobilité » (vélo en libre-service, autopartage, etc.) ; la représentation dynamique de l’offre de transports collectifs (ex. capacité en temps-réel) ; le </w:t>
            </w:r>
            <w:proofErr w:type="spellStart"/>
            <w:r w:rsidRPr="000B3761">
              <w:rPr>
                <w:color w:val="2F2A85"/>
                <w:sz w:val="20"/>
                <w:lang w:val="fr-FR"/>
              </w:rPr>
              <w:t>scrapping</w:t>
            </w:r>
            <w:proofErr w:type="spellEnd"/>
            <w:r w:rsidRPr="000B3761">
              <w:rPr>
                <w:color w:val="2F2A85"/>
                <w:sz w:val="20"/>
                <w:lang w:val="fr-FR"/>
              </w:rPr>
              <w:t xml:space="preserve"> de données de services de mobilité dans une perspective de comparaison internationale ; le traitement et l’analyse de données opérationnelles issues des systèmes d’exploitation de transporteurs de voyageurs ou de marchandises ; la calibration de modèles de transport / de mobilité à l’aide de données spatiales massives ;</w:t>
            </w:r>
            <w:r w:rsidRPr="000B3761">
              <w:rPr>
                <w:sz w:val="20"/>
                <w:lang w:val="fr-FR"/>
              </w:rPr>
              <w:t xml:space="preserve"> </w:t>
            </w:r>
            <w:r w:rsidRPr="000B3761">
              <w:rPr>
                <w:color w:val="2F2A85"/>
                <w:sz w:val="20"/>
                <w:lang w:val="fr-FR"/>
              </w:rPr>
              <w:t>les techniques d’apprentissage statistique appliquées au champ des transports, de la mobilité ; l’analyse des impacts environnementaux issus de différentes externalités liées notamment au trafic (liste non limitative)…</w:t>
            </w:r>
          </w:p>
          <w:p w:rsidR="000B3761" w:rsidRPr="00D02F6E" w:rsidRDefault="000B3761" w:rsidP="0035327D">
            <w:pPr>
              <w:pStyle w:val="TableParagraph"/>
              <w:tabs>
                <w:tab w:val="left" w:pos="387"/>
              </w:tabs>
              <w:spacing w:before="110" w:line="290" w:lineRule="auto"/>
              <w:ind w:left="103" w:right="385" w:firstLine="0"/>
              <w:jc w:val="both"/>
              <w:rPr>
                <w:sz w:val="20"/>
                <w:lang w:val="fr-FR"/>
              </w:rPr>
            </w:pPr>
          </w:p>
        </w:tc>
      </w:tr>
      <w:tr w:rsidR="00445C12" w:rsidRPr="00D02F6E" w:rsidTr="003E72E0">
        <w:trPr>
          <w:trHeight w:hRule="exact" w:val="375"/>
        </w:trPr>
        <w:tc>
          <w:tcPr>
            <w:tcW w:w="9213" w:type="dxa"/>
            <w:shd w:val="clear" w:color="auto" w:fill="1EAFD0"/>
          </w:tcPr>
          <w:p w:rsidR="00445C12" w:rsidRPr="00D02F6E" w:rsidRDefault="008B3E65">
            <w:pPr>
              <w:pStyle w:val="TableParagraph"/>
              <w:spacing w:before="21"/>
              <w:ind w:left="103" w:firstLine="0"/>
              <w:rPr>
                <w:b/>
                <w:color w:val="FFFFFF" w:themeColor="background1"/>
                <w:sz w:val="20"/>
                <w:lang w:val="fr-FR"/>
              </w:rPr>
            </w:pPr>
            <w:r w:rsidRPr="00D02F6E">
              <w:rPr>
                <w:b/>
                <w:color w:val="FFFFFF" w:themeColor="background1"/>
                <w:lang w:val="fr-FR"/>
              </w:rPr>
              <w:lastRenderedPageBreak/>
              <w:t xml:space="preserve">Activités </w:t>
            </w:r>
            <w:r w:rsidR="00F55F3A">
              <w:rPr>
                <w:b/>
                <w:color w:val="FFFFFF" w:themeColor="background1"/>
                <w:lang w:val="fr-FR"/>
              </w:rPr>
              <w:t>Essentielles</w:t>
            </w:r>
            <w:r w:rsidRPr="00D02F6E">
              <w:rPr>
                <w:b/>
                <w:color w:val="FFFFFF" w:themeColor="background1"/>
                <w:lang w:val="fr-FR"/>
              </w:rPr>
              <w:t xml:space="preserve"> </w:t>
            </w:r>
            <w:r w:rsidRPr="00D02F6E">
              <w:rPr>
                <w:b/>
                <w:color w:val="FFFFFF" w:themeColor="background1"/>
                <w:sz w:val="20"/>
                <w:lang w:val="fr-FR"/>
              </w:rPr>
              <w:t>:</w:t>
            </w:r>
          </w:p>
        </w:tc>
      </w:tr>
      <w:tr w:rsidR="00445C12" w:rsidRPr="00E762C1" w:rsidTr="0035327D">
        <w:trPr>
          <w:trHeight w:hRule="exact" w:val="9130"/>
        </w:trPr>
        <w:tc>
          <w:tcPr>
            <w:tcW w:w="9213" w:type="dxa"/>
          </w:tcPr>
          <w:p w:rsidR="0035327D" w:rsidRPr="000B3761" w:rsidRDefault="0035327D" w:rsidP="0035327D">
            <w:pPr>
              <w:pStyle w:val="TableParagraph"/>
              <w:numPr>
                <w:ilvl w:val="0"/>
                <w:numId w:val="6"/>
              </w:numPr>
              <w:tabs>
                <w:tab w:val="left" w:pos="387"/>
              </w:tabs>
              <w:spacing w:before="110" w:line="290" w:lineRule="auto"/>
              <w:ind w:right="385"/>
              <w:jc w:val="both"/>
              <w:rPr>
                <w:sz w:val="20"/>
                <w:lang w:val="fr-FR"/>
              </w:rPr>
            </w:pPr>
            <w:r w:rsidRPr="000B3761">
              <w:rPr>
                <w:color w:val="2F2A85"/>
                <w:sz w:val="20"/>
                <w:lang w:val="fr-FR"/>
              </w:rPr>
              <w:t>Informatique, statistique, intelligence artificielle, géographie quantitative</w:t>
            </w:r>
            <w:r>
              <w:rPr>
                <w:color w:val="2F2A85"/>
                <w:sz w:val="20"/>
                <w:lang w:val="fr-FR"/>
              </w:rPr>
              <w:t>.</w:t>
            </w:r>
          </w:p>
          <w:p w:rsidR="0035327D" w:rsidRPr="000B3761" w:rsidRDefault="0035327D" w:rsidP="0035327D">
            <w:pPr>
              <w:pStyle w:val="TableParagraph"/>
              <w:numPr>
                <w:ilvl w:val="0"/>
                <w:numId w:val="6"/>
              </w:numPr>
              <w:tabs>
                <w:tab w:val="left" w:pos="387"/>
              </w:tabs>
              <w:spacing w:before="110" w:line="290" w:lineRule="auto"/>
              <w:ind w:right="385"/>
              <w:jc w:val="both"/>
              <w:rPr>
                <w:color w:val="2F2A85"/>
                <w:sz w:val="20"/>
                <w:lang w:val="fr-FR"/>
              </w:rPr>
            </w:pPr>
            <w:r w:rsidRPr="000B3761">
              <w:rPr>
                <w:color w:val="2F2A85"/>
                <w:sz w:val="20"/>
                <w:lang w:val="fr-FR"/>
              </w:rPr>
              <w:t>Conception et exploitation de bases de données de mesures, spatiales, temporelles ou autres, à partir de sources hétérogènes, pour contribuer à l’étude du transport de personnes et de marchandises, et à ses impacts.</w:t>
            </w:r>
          </w:p>
          <w:p w:rsidR="0035327D" w:rsidRPr="0035327D" w:rsidRDefault="0035327D" w:rsidP="0035327D">
            <w:pPr>
              <w:pStyle w:val="TableParagraph"/>
              <w:numPr>
                <w:ilvl w:val="0"/>
                <w:numId w:val="6"/>
              </w:numPr>
              <w:tabs>
                <w:tab w:val="left" w:pos="387"/>
              </w:tabs>
              <w:spacing w:before="110" w:line="290" w:lineRule="auto"/>
              <w:ind w:right="385"/>
              <w:jc w:val="both"/>
              <w:rPr>
                <w:sz w:val="20"/>
                <w:lang w:val="fr-FR"/>
              </w:rPr>
            </w:pPr>
            <w:r w:rsidRPr="0035327D">
              <w:rPr>
                <w:color w:val="2F2A85"/>
                <w:sz w:val="20"/>
                <w:lang w:val="fr-FR"/>
              </w:rPr>
              <w:t>L’ingénieur(e) de recherche en analyse de données apporte et contribue à développer, dan</w:t>
            </w:r>
            <w:r>
              <w:rPr>
                <w:color w:val="2F2A85"/>
                <w:sz w:val="20"/>
                <w:lang w:val="fr-FR"/>
              </w:rPr>
              <w:t>s</w:t>
            </w:r>
          </w:p>
          <w:p w:rsidR="0035327D" w:rsidRDefault="0035327D" w:rsidP="0035327D">
            <w:pPr>
              <w:pStyle w:val="TableParagraph"/>
              <w:tabs>
                <w:tab w:val="left" w:pos="387"/>
              </w:tabs>
              <w:spacing w:before="0"/>
              <w:ind w:right="385" w:firstLine="0"/>
              <w:jc w:val="both"/>
              <w:rPr>
                <w:color w:val="2F2A85"/>
                <w:sz w:val="20"/>
                <w:lang w:val="fr-FR"/>
              </w:rPr>
            </w:pPr>
            <w:proofErr w:type="gramStart"/>
            <w:r>
              <w:rPr>
                <w:color w:val="2F2A85"/>
                <w:sz w:val="20"/>
                <w:lang w:val="fr-FR"/>
              </w:rPr>
              <w:t>le</w:t>
            </w:r>
            <w:proofErr w:type="gramEnd"/>
            <w:r w:rsidRPr="000B3761">
              <w:rPr>
                <w:color w:val="2F2A85"/>
                <w:sz w:val="20"/>
                <w:lang w:val="fr-FR"/>
              </w:rPr>
              <w:t xml:space="preserve"> cadre de projets de recherche, une expertise dans l’acquisition, l’analyse, l’intégration, la modélisation ou la représentation des données appliquées au champ des transports, des mobilités ou plus générales des études urbaines s’inscrivant dans les thématiques de recherche, ainsi qu’à diffuser cette expertise par des publications</w:t>
            </w:r>
            <w:r>
              <w:rPr>
                <w:color w:val="2F2A85"/>
                <w:sz w:val="20"/>
                <w:lang w:val="fr-FR"/>
              </w:rPr>
              <w:t>.</w:t>
            </w:r>
          </w:p>
          <w:p w:rsidR="000B3761" w:rsidRPr="0035327D" w:rsidRDefault="000B3761" w:rsidP="000B3761">
            <w:pPr>
              <w:pStyle w:val="TableParagraph"/>
              <w:tabs>
                <w:tab w:val="left" w:pos="387"/>
              </w:tabs>
              <w:spacing w:before="173"/>
              <w:ind w:right="385" w:firstLine="0"/>
              <w:jc w:val="both"/>
              <w:rPr>
                <w:b/>
                <w:color w:val="2F2A85"/>
                <w:sz w:val="20"/>
                <w:lang w:val="fr-FR"/>
              </w:rPr>
            </w:pPr>
            <w:r w:rsidRPr="0035327D">
              <w:rPr>
                <w:b/>
                <w:color w:val="2F2A85"/>
                <w:sz w:val="20"/>
                <w:lang w:val="fr-FR"/>
              </w:rPr>
              <w:t xml:space="preserve">Activités de recherche au cœur du profil de poste : </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Traitement de données, exploitation de bases de données issues d’internet (</w:t>
            </w:r>
            <w:proofErr w:type="spellStart"/>
            <w:r w:rsidRPr="000B3761">
              <w:rPr>
                <w:color w:val="2F2A85"/>
                <w:sz w:val="20"/>
                <w:lang w:val="fr-FR"/>
              </w:rPr>
              <w:t>scrapping</w:t>
            </w:r>
            <w:proofErr w:type="spellEnd"/>
            <w:r w:rsidRPr="000B3761">
              <w:rPr>
                <w:color w:val="2F2A85"/>
                <w:sz w:val="20"/>
                <w:lang w:val="fr-FR"/>
              </w:rPr>
              <w:t>), de téléphones mobiles, d’objets connectés (GPS, IMU, caméras, …), de réseaux sociaux, de modèles physiques, de réseaux de capteurs, de systèmes d’information d’entreprises, etc.</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Contribution à l’acquisition des données pour enrichir leur interprétation physique dans l’analyse</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 xml:space="preserve">Application de méthodes statistiques avancées, méthodes d’apprentissage statistique, </w:t>
            </w:r>
            <w:proofErr w:type="spellStart"/>
            <w:r w:rsidRPr="000B3761">
              <w:rPr>
                <w:color w:val="2F2A85"/>
                <w:sz w:val="20"/>
                <w:lang w:val="fr-FR"/>
              </w:rPr>
              <w:t>deep</w:t>
            </w:r>
            <w:proofErr w:type="spellEnd"/>
            <w:r w:rsidRPr="000B3761">
              <w:rPr>
                <w:color w:val="2F2A85"/>
                <w:sz w:val="20"/>
                <w:lang w:val="fr-FR"/>
              </w:rPr>
              <w:t xml:space="preserve"> </w:t>
            </w:r>
            <w:proofErr w:type="spellStart"/>
            <w:r w:rsidRPr="000B3761">
              <w:rPr>
                <w:color w:val="2F2A85"/>
                <w:sz w:val="20"/>
                <w:lang w:val="fr-FR"/>
              </w:rPr>
              <w:t>learning</w:t>
            </w:r>
            <w:proofErr w:type="spellEnd"/>
            <w:r w:rsidRPr="000B3761">
              <w:rPr>
                <w:color w:val="2F2A85"/>
                <w:sz w:val="20"/>
                <w:lang w:val="fr-FR"/>
              </w:rPr>
              <w:t>...</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Inférence statistique permettant d’identifier des régularités dans des données spatiales et temporelles hétérogènes.</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Travail de recherche en interface avec des chercheurs thématiques pour l’analyse de leurs données de recherche.</w:t>
            </w:r>
            <w:r w:rsidRPr="000B3761">
              <w:rPr>
                <w:color w:val="2F2A85"/>
                <w:sz w:val="20"/>
                <w:lang w:val="fr-FR"/>
              </w:rPr>
              <w:tab/>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Activité de veille sur l’évolution des concepts et des méthodes : participation à des échanges épistémologiques et / ou méthodologiques visant à ce que la communauté de chercheurs s’approprie de mieux en mieux les méthodes de traitement de données massives dans leurs champs de recherche, avec une compréhension fine des apports et limites de ces méthodes.</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Rédaction de productions scientifiques en français et en anglais</w:t>
            </w:r>
          </w:p>
          <w:p w:rsidR="000B3761" w:rsidRPr="000B3761" w:rsidRDefault="000B3761" w:rsidP="000B3761">
            <w:pPr>
              <w:pStyle w:val="TableParagraph"/>
              <w:numPr>
                <w:ilvl w:val="0"/>
                <w:numId w:val="6"/>
              </w:numPr>
              <w:tabs>
                <w:tab w:val="left" w:pos="387"/>
              </w:tabs>
              <w:spacing w:before="173"/>
              <w:ind w:right="385"/>
              <w:jc w:val="both"/>
              <w:rPr>
                <w:color w:val="2F2A85"/>
                <w:sz w:val="20"/>
                <w:lang w:val="fr-FR"/>
              </w:rPr>
            </w:pPr>
            <w:r w:rsidRPr="000B3761">
              <w:rPr>
                <w:color w:val="2F2A85"/>
                <w:sz w:val="20"/>
                <w:lang w:val="fr-FR"/>
              </w:rPr>
              <w:t>Formation des agents du département</w:t>
            </w:r>
          </w:p>
          <w:p w:rsidR="00445C12" w:rsidRDefault="000B3761" w:rsidP="000B3761">
            <w:pPr>
              <w:pStyle w:val="TableParagraph"/>
              <w:numPr>
                <w:ilvl w:val="0"/>
                <w:numId w:val="6"/>
              </w:numPr>
              <w:tabs>
                <w:tab w:val="left" w:pos="387"/>
              </w:tabs>
              <w:spacing w:before="168" w:line="292" w:lineRule="auto"/>
              <w:ind w:right="108"/>
              <w:jc w:val="both"/>
              <w:rPr>
                <w:color w:val="2F2A85"/>
                <w:sz w:val="20"/>
                <w:lang w:val="fr-FR"/>
              </w:rPr>
            </w:pPr>
            <w:r w:rsidRPr="000B3761">
              <w:rPr>
                <w:color w:val="2F2A85"/>
                <w:sz w:val="20"/>
                <w:lang w:val="fr-FR"/>
              </w:rPr>
              <w:t>Dans la mesure où les laboratoires composant le département sont répartis entre plusieurs sites (Marne-la-Vallée, Nantes, Lyon, Villeneuve d'Ascq), la personne recrutée sera susceptible de s'y rendre en tant que de besoin.</w:t>
            </w:r>
          </w:p>
          <w:p w:rsidR="000B3761" w:rsidRDefault="000B3761" w:rsidP="000B3761">
            <w:pPr>
              <w:pStyle w:val="TableParagraph"/>
              <w:tabs>
                <w:tab w:val="left" w:pos="387"/>
              </w:tabs>
              <w:spacing w:before="168" w:line="292" w:lineRule="auto"/>
              <w:ind w:right="108"/>
              <w:jc w:val="both"/>
              <w:rPr>
                <w:color w:val="2F2A85"/>
                <w:sz w:val="20"/>
                <w:lang w:val="fr-FR"/>
              </w:rPr>
            </w:pPr>
          </w:p>
          <w:p w:rsidR="000B3761" w:rsidRPr="0080216C" w:rsidRDefault="000B3761" w:rsidP="000B3761">
            <w:pPr>
              <w:pStyle w:val="TableParagraph"/>
              <w:tabs>
                <w:tab w:val="left" w:pos="387"/>
              </w:tabs>
              <w:spacing w:before="168" w:line="292" w:lineRule="auto"/>
              <w:ind w:right="108"/>
              <w:jc w:val="both"/>
              <w:rPr>
                <w:color w:val="2F2A85"/>
                <w:sz w:val="20"/>
                <w:lang w:val="fr-FR"/>
              </w:rPr>
            </w:pPr>
          </w:p>
        </w:tc>
      </w:tr>
      <w:tr w:rsidR="00445C12" w:rsidRPr="00D02F6E" w:rsidTr="009A2265">
        <w:trPr>
          <w:trHeight w:hRule="exact" w:val="291"/>
        </w:trPr>
        <w:tc>
          <w:tcPr>
            <w:tcW w:w="9213" w:type="dxa"/>
            <w:shd w:val="clear" w:color="auto" w:fill="1EAFD0"/>
          </w:tcPr>
          <w:p w:rsidR="00445C12" w:rsidRPr="00D02F6E" w:rsidRDefault="008B3E65">
            <w:pPr>
              <w:pStyle w:val="TableParagraph"/>
              <w:spacing w:before="22"/>
              <w:ind w:left="103" w:firstLine="0"/>
              <w:rPr>
                <w:b/>
                <w:color w:val="FFFFFF" w:themeColor="background1"/>
                <w:lang w:val="fr-FR"/>
              </w:rPr>
            </w:pPr>
            <w:r w:rsidRPr="00D02F6E">
              <w:rPr>
                <w:b/>
                <w:color w:val="FFFFFF" w:themeColor="background1"/>
                <w:lang w:val="fr-FR"/>
              </w:rPr>
              <w:t xml:space="preserve">Compétences </w:t>
            </w:r>
            <w:r w:rsidR="00F55F3A">
              <w:rPr>
                <w:b/>
                <w:color w:val="FFFFFF" w:themeColor="background1"/>
                <w:lang w:val="fr-FR"/>
              </w:rPr>
              <w:t xml:space="preserve">requises </w:t>
            </w:r>
            <w:r w:rsidRPr="00D02F6E">
              <w:rPr>
                <w:b/>
                <w:color w:val="FFFFFF" w:themeColor="background1"/>
                <w:lang w:val="fr-FR"/>
              </w:rPr>
              <w:t>:</w:t>
            </w:r>
          </w:p>
        </w:tc>
      </w:tr>
      <w:tr w:rsidR="00445C12" w:rsidRPr="00E762C1" w:rsidTr="00F55F3A">
        <w:trPr>
          <w:trHeight w:hRule="exact" w:val="2967"/>
        </w:trPr>
        <w:tc>
          <w:tcPr>
            <w:tcW w:w="9213" w:type="dxa"/>
            <w:tcBorders>
              <w:bottom w:val="single" w:sz="4" w:space="0" w:color="000000"/>
            </w:tcBorders>
          </w:tcPr>
          <w:p w:rsidR="00F55F3A" w:rsidRPr="00F55F3A"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Maîtrise des divers outils d'atelier et techniques de construction mécanique.</w:t>
            </w:r>
          </w:p>
          <w:p w:rsidR="00F55F3A" w:rsidRPr="00F55F3A"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Connaissances générales en mécanique.</w:t>
            </w:r>
          </w:p>
          <w:p w:rsidR="00F55F3A" w:rsidRPr="00F55F3A"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Sensibilisation aux techniques de mesures expérimentales.</w:t>
            </w:r>
          </w:p>
          <w:p w:rsidR="00F55F3A" w:rsidRPr="00F55F3A"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Sensibilisation à la qualité et aux règles d'hygiène et de sécurité</w:t>
            </w:r>
          </w:p>
          <w:p w:rsidR="00F55F3A" w:rsidRPr="00F55F3A"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Aptitude à travailler en équipe sur des projets.</w:t>
            </w:r>
          </w:p>
          <w:p w:rsidR="00F55F3A" w:rsidRPr="00F55F3A"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Capacité à s’intégrer et à travailler en harmonie dans une équipe comprenant divers corps (ingénieurs, chercheurs…)</w:t>
            </w:r>
          </w:p>
          <w:p w:rsidR="003E72E0" w:rsidRPr="003E72E0" w:rsidRDefault="00F55F3A" w:rsidP="00F55F3A">
            <w:pPr>
              <w:pStyle w:val="TableParagraph"/>
              <w:spacing w:before="115"/>
              <w:ind w:right="385"/>
              <w:jc w:val="both"/>
              <w:rPr>
                <w:color w:val="2F2A85"/>
                <w:sz w:val="20"/>
                <w:szCs w:val="20"/>
                <w:lang w:val="fr-FR"/>
              </w:rPr>
            </w:pPr>
            <w:r w:rsidRPr="00F55F3A">
              <w:rPr>
                <w:color w:val="2F2A85"/>
                <w:sz w:val="20"/>
                <w:szCs w:val="20"/>
                <w:lang w:val="fr-FR"/>
              </w:rPr>
              <w:t>•</w:t>
            </w:r>
            <w:r w:rsidRPr="00F55F3A">
              <w:rPr>
                <w:color w:val="2F2A85"/>
                <w:sz w:val="20"/>
                <w:szCs w:val="20"/>
                <w:lang w:val="fr-FR"/>
              </w:rPr>
              <w:tab/>
              <w:t>Participation à la dynamique générale du laboratoire</w:t>
            </w:r>
          </w:p>
        </w:tc>
      </w:tr>
      <w:tr w:rsidR="006C33E4" w:rsidRPr="00D02F6E" w:rsidTr="006C33E4">
        <w:trPr>
          <w:trHeight w:hRule="exact" w:val="290"/>
        </w:trPr>
        <w:tc>
          <w:tcPr>
            <w:tcW w:w="9213" w:type="dxa"/>
            <w:tcBorders>
              <w:bottom w:val="single" w:sz="4" w:space="0" w:color="000000"/>
            </w:tcBorders>
            <w:shd w:val="clear" w:color="auto" w:fill="1EAFD0"/>
          </w:tcPr>
          <w:p w:rsidR="006C33E4" w:rsidRPr="006C33E4" w:rsidRDefault="006C33E4" w:rsidP="000C34C2">
            <w:pPr>
              <w:pStyle w:val="TableParagraph"/>
              <w:spacing w:before="21"/>
              <w:ind w:left="103" w:firstLine="0"/>
              <w:rPr>
                <w:b/>
                <w:color w:val="FFFFFF" w:themeColor="background1"/>
                <w:lang w:val="fr-FR"/>
              </w:rPr>
            </w:pPr>
            <w:bookmarkStart w:id="1" w:name="_Hlk37768761"/>
            <w:r w:rsidRPr="006C33E4">
              <w:rPr>
                <w:b/>
                <w:color w:val="FFFFFF" w:themeColor="background1"/>
                <w:lang w:val="fr-FR"/>
              </w:rPr>
              <w:t>Formation et expérience professionnelle :</w:t>
            </w:r>
          </w:p>
        </w:tc>
      </w:tr>
      <w:bookmarkEnd w:id="1"/>
      <w:tr w:rsidR="00F55F3A" w:rsidRPr="00E762C1" w:rsidTr="0035327D">
        <w:trPr>
          <w:trHeight w:hRule="exact" w:val="2266"/>
        </w:trPr>
        <w:tc>
          <w:tcPr>
            <w:tcW w:w="9213" w:type="dxa"/>
            <w:tcBorders>
              <w:bottom w:val="single" w:sz="4" w:space="0" w:color="000000"/>
            </w:tcBorders>
            <w:shd w:val="clear" w:color="auto" w:fill="auto"/>
            <w:vAlign w:val="center"/>
          </w:tcPr>
          <w:p w:rsidR="00F55F3A" w:rsidRPr="00F55F3A" w:rsidRDefault="000B3761" w:rsidP="001F4F6C">
            <w:pPr>
              <w:spacing w:after="120"/>
              <w:ind w:left="179" w:right="385"/>
              <w:jc w:val="both"/>
              <w:rPr>
                <w:sz w:val="20"/>
                <w:szCs w:val="20"/>
                <w:lang w:val="fr-FR"/>
              </w:rPr>
            </w:pPr>
            <w:r w:rsidRPr="000B3761">
              <w:rPr>
                <w:color w:val="2F2A85"/>
                <w:sz w:val="20"/>
                <w:szCs w:val="20"/>
                <w:lang w:val="fr-FR"/>
              </w:rPr>
              <w:t>Le poste est ouvert à des candidat(e)s titulaires d’un diplôme de doctorat ou son équivalent en data science ou en statistique avec une appétence pour les données en lien avec la mobilité, l’environnement. Le (la) candidat(e) devra avoir une bonne maîtrise des outils de sa discipline (SIG, logiciels d’analyse statistique, intelligence artificielle, etc.) notamment ceux disponibles en open source. Le (la) candidat(e) devra avoir la capacité de s’insérer au sein d’équipes de recherche multidisciplinaires.</w:t>
            </w:r>
          </w:p>
        </w:tc>
      </w:tr>
      <w:tr w:rsidR="00F55F3A" w:rsidRPr="00E762C1" w:rsidTr="0035327D">
        <w:trPr>
          <w:trHeight w:hRule="exact" w:val="90"/>
        </w:trPr>
        <w:tc>
          <w:tcPr>
            <w:tcW w:w="9213" w:type="dxa"/>
            <w:tcBorders>
              <w:top w:val="single" w:sz="4" w:space="0" w:color="000000"/>
              <w:left w:val="nil"/>
              <w:bottom w:val="nil"/>
              <w:right w:val="nil"/>
            </w:tcBorders>
            <w:shd w:val="clear" w:color="auto" w:fill="auto"/>
          </w:tcPr>
          <w:p w:rsidR="001F4F6C" w:rsidRPr="006C33E4" w:rsidRDefault="001F4F6C" w:rsidP="001F4F6C">
            <w:pPr>
              <w:pStyle w:val="TableParagraph"/>
              <w:spacing w:before="21"/>
              <w:ind w:left="0" w:firstLine="0"/>
              <w:rPr>
                <w:b/>
                <w:color w:val="FFFFFF" w:themeColor="background1"/>
                <w:lang w:val="fr-FR"/>
              </w:rPr>
            </w:pPr>
          </w:p>
        </w:tc>
      </w:tr>
      <w:tr w:rsidR="0035327D" w:rsidRPr="00E762C1" w:rsidTr="0035327D">
        <w:trPr>
          <w:trHeight w:hRule="exact" w:val="290"/>
        </w:trPr>
        <w:tc>
          <w:tcPr>
            <w:tcW w:w="9213" w:type="dxa"/>
            <w:tcBorders>
              <w:top w:val="nil"/>
              <w:left w:val="nil"/>
              <w:bottom w:val="single" w:sz="4" w:space="0" w:color="000000"/>
              <w:right w:val="nil"/>
            </w:tcBorders>
            <w:shd w:val="clear" w:color="auto" w:fill="auto"/>
          </w:tcPr>
          <w:p w:rsidR="0035327D" w:rsidRPr="006C33E4" w:rsidRDefault="0035327D" w:rsidP="00F55F3A">
            <w:pPr>
              <w:pStyle w:val="TableParagraph"/>
              <w:spacing w:before="21"/>
              <w:ind w:left="103" w:firstLine="0"/>
              <w:rPr>
                <w:b/>
                <w:color w:val="FFFFFF" w:themeColor="background1"/>
                <w:lang w:val="fr-FR"/>
              </w:rPr>
            </w:pPr>
          </w:p>
        </w:tc>
      </w:tr>
      <w:tr w:rsidR="00F55F3A" w:rsidRPr="00E762C1" w:rsidTr="0035327D">
        <w:trPr>
          <w:trHeight w:hRule="exact" w:val="290"/>
        </w:trPr>
        <w:tc>
          <w:tcPr>
            <w:tcW w:w="9213" w:type="dxa"/>
            <w:tcBorders>
              <w:top w:val="nil"/>
              <w:bottom w:val="single" w:sz="4" w:space="0" w:color="000000"/>
            </w:tcBorders>
            <w:shd w:val="clear" w:color="auto" w:fill="1EAFD0"/>
          </w:tcPr>
          <w:p w:rsidR="00F55F3A" w:rsidRPr="006C33E4" w:rsidRDefault="00F55F3A" w:rsidP="00F55F3A">
            <w:pPr>
              <w:pStyle w:val="TableParagraph"/>
              <w:spacing w:before="21"/>
              <w:ind w:left="103" w:firstLine="0"/>
              <w:rPr>
                <w:b/>
                <w:color w:val="FFFFFF" w:themeColor="background1"/>
                <w:lang w:val="fr-FR"/>
              </w:rPr>
            </w:pPr>
            <w:bookmarkStart w:id="2" w:name="_Hlk37768902"/>
            <w:r w:rsidRPr="006C33E4">
              <w:rPr>
                <w:b/>
                <w:color w:val="FFFFFF" w:themeColor="background1"/>
                <w:lang w:val="fr-FR"/>
              </w:rPr>
              <w:t>Environnement, contexte de travail, rattachement hiérarchique :</w:t>
            </w:r>
          </w:p>
        </w:tc>
      </w:tr>
      <w:bookmarkEnd w:id="2"/>
      <w:tr w:rsidR="00F55F3A" w:rsidRPr="00E762C1" w:rsidTr="000B3761">
        <w:trPr>
          <w:trHeight w:hRule="exact" w:val="1054"/>
        </w:trPr>
        <w:tc>
          <w:tcPr>
            <w:tcW w:w="9213" w:type="dxa"/>
            <w:shd w:val="clear" w:color="auto" w:fill="auto"/>
          </w:tcPr>
          <w:p w:rsidR="000B3761" w:rsidRDefault="000B3761" w:rsidP="000B3761">
            <w:pPr>
              <w:pStyle w:val="TableParagraph"/>
              <w:spacing w:before="0"/>
              <w:ind w:left="181" w:right="386" w:firstLine="0"/>
              <w:jc w:val="both"/>
              <w:rPr>
                <w:color w:val="2F2A85"/>
                <w:sz w:val="20"/>
                <w:szCs w:val="20"/>
                <w:lang w:val="fr-FR"/>
              </w:rPr>
            </w:pPr>
          </w:p>
          <w:p w:rsidR="00F55F3A" w:rsidRPr="000B3761" w:rsidRDefault="000B3761" w:rsidP="000B3761">
            <w:pPr>
              <w:pStyle w:val="TableParagraph"/>
              <w:spacing w:before="0"/>
              <w:ind w:left="181" w:right="386" w:firstLine="0"/>
              <w:jc w:val="both"/>
              <w:rPr>
                <w:rFonts w:ascii="Calibri" w:hAnsi="Calibri"/>
                <w:b/>
                <w:bCs/>
                <w:sz w:val="21"/>
                <w:szCs w:val="21"/>
                <w:lang w:val="fr-FR"/>
              </w:rPr>
            </w:pPr>
            <w:r w:rsidRPr="000B3761">
              <w:rPr>
                <w:color w:val="2F2A85"/>
                <w:sz w:val="20"/>
                <w:szCs w:val="20"/>
                <w:lang w:val="fr-FR"/>
              </w:rPr>
              <w:t>L’ingénieur(e) de recherche recruté(e) sera rattaché(e) au département Aménagement, Mobilité, Environnement, en mettant ses services et compétences à disposition des laboratoires du département AME</w:t>
            </w:r>
          </w:p>
        </w:tc>
      </w:tr>
      <w:tr w:rsidR="00F55F3A" w:rsidRPr="006C33E4" w:rsidTr="000C34C2">
        <w:trPr>
          <w:trHeight w:hRule="exact" w:val="290"/>
        </w:trPr>
        <w:tc>
          <w:tcPr>
            <w:tcW w:w="9213" w:type="dxa"/>
            <w:tcBorders>
              <w:bottom w:val="single" w:sz="4" w:space="0" w:color="000000"/>
            </w:tcBorders>
            <w:shd w:val="clear" w:color="auto" w:fill="1EAFD0"/>
          </w:tcPr>
          <w:p w:rsidR="00F55F3A" w:rsidRPr="006C33E4" w:rsidRDefault="00F55F3A" w:rsidP="00F55F3A">
            <w:pPr>
              <w:pStyle w:val="TableParagraph"/>
              <w:spacing w:before="21"/>
              <w:ind w:left="103" w:firstLine="0"/>
              <w:rPr>
                <w:color w:val="2F2A85"/>
                <w:sz w:val="20"/>
                <w:szCs w:val="20"/>
                <w:lang w:val="fr-FR"/>
              </w:rPr>
            </w:pPr>
            <w:r w:rsidRPr="006C33E4">
              <w:rPr>
                <w:color w:val="2F2A85"/>
                <w:sz w:val="20"/>
                <w:szCs w:val="20"/>
                <w:lang w:val="fr-FR"/>
              </w:rPr>
              <w:t>Contact(s) :</w:t>
            </w:r>
          </w:p>
        </w:tc>
      </w:tr>
      <w:tr w:rsidR="00F55F3A" w:rsidRPr="00E762C1" w:rsidTr="00FF4F53">
        <w:trPr>
          <w:trHeight w:hRule="exact" w:val="1497"/>
        </w:trPr>
        <w:tc>
          <w:tcPr>
            <w:tcW w:w="9213" w:type="dxa"/>
            <w:shd w:val="clear" w:color="auto" w:fill="auto"/>
          </w:tcPr>
          <w:p w:rsidR="00F55F3A" w:rsidRPr="00F55F3A" w:rsidRDefault="00F55F3A" w:rsidP="00F55F3A">
            <w:pPr>
              <w:ind w:left="357" w:hanging="357"/>
              <w:jc w:val="both"/>
              <w:rPr>
                <w:color w:val="2F2A85"/>
                <w:sz w:val="20"/>
                <w:szCs w:val="20"/>
                <w:lang w:val="fr-FR"/>
              </w:rPr>
            </w:pPr>
          </w:p>
          <w:p w:rsidR="00F55F3A" w:rsidRDefault="00FF4F53" w:rsidP="00F55F3A">
            <w:pPr>
              <w:ind w:left="357" w:hanging="357"/>
              <w:jc w:val="both"/>
              <w:rPr>
                <w:color w:val="2F2A85"/>
                <w:sz w:val="20"/>
                <w:szCs w:val="20"/>
                <w:lang w:val="fr-FR"/>
              </w:rPr>
            </w:pPr>
            <w:r>
              <w:rPr>
                <w:color w:val="2F2A85"/>
                <w:sz w:val="20"/>
                <w:szCs w:val="20"/>
                <w:lang w:val="fr-FR"/>
              </w:rPr>
              <w:t>Dominique MIGNOT (directeur de département)</w:t>
            </w:r>
          </w:p>
          <w:p w:rsidR="00FF4F53" w:rsidRPr="00F55F3A" w:rsidRDefault="00FF4F53" w:rsidP="00F55F3A">
            <w:pPr>
              <w:ind w:left="357" w:hanging="357"/>
              <w:jc w:val="both"/>
              <w:rPr>
                <w:color w:val="2F2A85"/>
                <w:sz w:val="20"/>
                <w:szCs w:val="20"/>
                <w:lang w:val="fr-FR"/>
              </w:rPr>
            </w:pPr>
            <w:r w:rsidRPr="00FF4F53">
              <w:rPr>
                <w:color w:val="2F2A85"/>
                <w:sz w:val="20"/>
                <w:szCs w:val="20"/>
                <w:lang w:val="fr-FR"/>
              </w:rPr>
              <w:t>dominique.mignot@univ-eiffel.fr</w:t>
            </w:r>
          </w:p>
          <w:p w:rsidR="00F55F3A" w:rsidRPr="006C33E4" w:rsidRDefault="00F55F3A" w:rsidP="00F55F3A">
            <w:pPr>
              <w:ind w:left="357" w:hanging="357"/>
              <w:jc w:val="both"/>
              <w:rPr>
                <w:color w:val="2F2A85"/>
                <w:sz w:val="20"/>
                <w:szCs w:val="20"/>
                <w:lang w:val="fr-FR"/>
              </w:rPr>
            </w:pPr>
          </w:p>
        </w:tc>
      </w:tr>
    </w:tbl>
    <w:p w:rsidR="008B3E65" w:rsidRPr="00D02F6E" w:rsidRDefault="008B3E65">
      <w:pPr>
        <w:rPr>
          <w:lang w:val="fr-FR"/>
        </w:rPr>
      </w:pPr>
    </w:p>
    <w:sectPr w:rsidR="008B3E65" w:rsidRPr="00D02F6E" w:rsidSect="001F4F6C">
      <w:pgSz w:w="11910" w:h="16840"/>
      <w:pgMar w:top="993" w:right="1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5AFA"/>
    <w:multiLevelType w:val="hybridMultilevel"/>
    <w:tmpl w:val="F446AAF6"/>
    <w:lvl w:ilvl="0" w:tplc="4EFEC0D8">
      <w:numFmt w:val="bullet"/>
      <w:lvlText w:val=""/>
      <w:lvlJc w:val="left"/>
      <w:pPr>
        <w:ind w:left="386" w:hanging="284"/>
      </w:pPr>
      <w:rPr>
        <w:rFonts w:ascii="Wingdings" w:eastAsia="Wingdings" w:hAnsi="Wingdings" w:cs="Wingdings" w:hint="default"/>
        <w:color w:val="CC0000"/>
        <w:w w:val="99"/>
        <w:sz w:val="20"/>
        <w:szCs w:val="20"/>
      </w:rPr>
    </w:lvl>
    <w:lvl w:ilvl="1" w:tplc="9C525FE0">
      <w:numFmt w:val="bullet"/>
      <w:lvlText w:val="•"/>
      <w:lvlJc w:val="left"/>
      <w:pPr>
        <w:ind w:left="1262" w:hanging="284"/>
      </w:pPr>
      <w:rPr>
        <w:rFonts w:hint="default"/>
      </w:rPr>
    </w:lvl>
    <w:lvl w:ilvl="2" w:tplc="7C86AA54">
      <w:numFmt w:val="bullet"/>
      <w:lvlText w:val="•"/>
      <w:lvlJc w:val="left"/>
      <w:pPr>
        <w:ind w:left="2144" w:hanging="284"/>
      </w:pPr>
      <w:rPr>
        <w:rFonts w:hint="default"/>
      </w:rPr>
    </w:lvl>
    <w:lvl w:ilvl="3" w:tplc="0242EE5A">
      <w:numFmt w:val="bullet"/>
      <w:lvlText w:val="•"/>
      <w:lvlJc w:val="left"/>
      <w:pPr>
        <w:ind w:left="3027" w:hanging="284"/>
      </w:pPr>
      <w:rPr>
        <w:rFonts w:hint="default"/>
      </w:rPr>
    </w:lvl>
    <w:lvl w:ilvl="4" w:tplc="7C58C564">
      <w:numFmt w:val="bullet"/>
      <w:lvlText w:val="•"/>
      <w:lvlJc w:val="left"/>
      <w:pPr>
        <w:ind w:left="3909" w:hanging="284"/>
      </w:pPr>
      <w:rPr>
        <w:rFonts w:hint="default"/>
      </w:rPr>
    </w:lvl>
    <w:lvl w:ilvl="5" w:tplc="0F602BC4">
      <w:numFmt w:val="bullet"/>
      <w:lvlText w:val="•"/>
      <w:lvlJc w:val="left"/>
      <w:pPr>
        <w:ind w:left="4791" w:hanging="284"/>
      </w:pPr>
      <w:rPr>
        <w:rFonts w:hint="default"/>
      </w:rPr>
    </w:lvl>
    <w:lvl w:ilvl="6" w:tplc="50DC82B8">
      <w:numFmt w:val="bullet"/>
      <w:lvlText w:val="•"/>
      <w:lvlJc w:val="left"/>
      <w:pPr>
        <w:ind w:left="5674" w:hanging="284"/>
      </w:pPr>
      <w:rPr>
        <w:rFonts w:hint="default"/>
      </w:rPr>
    </w:lvl>
    <w:lvl w:ilvl="7" w:tplc="5D70F9AC">
      <w:numFmt w:val="bullet"/>
      <w:lvlText w:val="•"/>
      <w:lvlJc w:val="left"/>
      <w:pPr>
        <w:ind w:left="6556" w:hanging="284"/>
      </w:pPr>
      <w:rPr>
        <w:rFonts w:hint="default"/>
      </w:rPr>
    </w:lvl>
    <w:lvl w:ilvl="8" w:tplc="F112FD06">
      <w:numFmt w:val="bullet"/>
      <w:lvlText w:val="•"/>
      <w:lvlJc w:val="left"/>
      <w:pPr>
        <w:ind w:left="7438" w:hanging="284"/>
      </w:pPr>
      <w:rPr>
        <w:rFonts w:hint="default"/>
      </w:rPr>
    </w:lvl>
  </w:abstractNum>
  <w:abstractNum w:abstractNumId="1" w15:restartNumberingAfterBreak="0">
    <w:nsid w:val="317C217A"/>
    <w:multiLevelType w:val="hybridMultilevel"/>
    <w:tmpl w:val="01DA8776"/>
    <w:lvl w:ilvl="0" w:tplc="47F60004">
      <w:numFmt w:val="bullet"/>
      <w:lvlText w:val=""/>
      <w:lvlJc w:val="left"/>
      <w:pPr>
        <w:ind w:left="386" w:hanging="284"/>
      </w:pPr>
      <w:rPr>
        <w:rFonts w:ascii="Wingdings" w:eastAsia="Wingdings" w:hAnsi="Wingdings" w:cs="Wingdings" w:hint="default"/>
        <w:color w:val="CC0000"/>
        <w:w w:val="99"/>
        <w:sz w:val="20"/>
        <w:szCs w:val="20"/>
      </w:rPr>
    </w:lvl>
    <w:lvl w:ilvl="1" w:tplc="EDACA64C">
      <w:numFmt w:val="bullet"/>
      <w:lvlText w:val="•"/>
      <w:lvlJc w:val="left"/>
      <w:pPr>
        <w:ind w:left="1262" w:hanging="284"/>
      </w:pPr>
      <w:rPr>
        <w:rFonts w:hint="default"/>
      </w:rPr>
    </w:lvl>
    <w:lvl w:ilvl="2" w:tplc="3F96EFF8">
      <w:numFmt w:val="bullet"/>
      <w:lvlText w:val="•"/>
      <w:lvlJc w:val="left"/>
      <w:pPr>
        <w:ind w:left="2144" w:hanging="284"/>
      </w:pPr>
      <w:rPr>
        <w:rFonts w:hint="default"/>
      </w:rPr>
    </w:lvl>
    <w:lvl w:ilvl="3" w:tplc="A94A1E5A">
      <w:numFmt w:val="bullet"/>
      <w:lvlText w:val="•"/>
      <w:lvlJc w:val="left"/>
      <w:pPr>
        <w:ind w:left="3027" w:hanging="284"/>
      </w:pPr>
      <w:rPr>
        <w:rFonts w:hint="default"/>
      </w:rPr>
    </w:lvl>
    <w:lvl w:ilvl="4" w:tplc="D4A42C78">
      <w:numFmt w:val="bullet"/>
      <w:lvlText w:val="•"/>
      <w:lvlJc w:val="left"/>
      <w:pPr>
        <w:ind w:left="3909" w:hanging="284"/>
      </w:pPr>
      <w:rPr>
        <w:rFonts w:hint="default"/>
      </w:rPr>
    </w:lvl>
    <w:lvl w:ilvl="5" w:tplc="3F72652A">
      <w:numFmt w:val="bullet"/>
      <w:lvlText w:val="•"/>
      <w:lvlJc w:val="left"/>
      <w:pPr>
        <w:ind w:left="4791" w:hanging="284"/>
      </w:pPr>
      <w:rPr>
        <w:rFonts w:hint="default"/>
      </w:rPr>
    </w:lvl>
    <w:lvl w:ilvl="6" w:tplc="5C548B94">
      <w:numFmt w:val="bullet"/>
      <w:lvlText w:val="•"/>
      <w:lvlJc w:val="left"/>
      <w:pPr>
        <w:ind w:left="5674" w:hanging="284"/>
      </w:pPr>
      <w:rPr>
        <w:rFonts w:hint="default"/>
      </w:rPr>
    </w:lvl>
    <w:lvl w:ilvl="7" w:tplc="3550BA46">
      <w:numFmt w:val="bullet"/>
      <w:lvlText w:val="•"/>
      <w:lvlJc w:val="left"/>
      <w:pPr>
        <w:ind w:left="6556" w:hanging="284"/>
      </w:pPr>
      <w:rPr>
        <w:rFonts w:hint="default"/>
      </w:rPr>
    </w:lvl>
    <w:lvl w:ilvl="8" w:tplc="7DB27374">
      <w:numFmt w:val="bullet"/>
      <w:lvlText w:val="•"/>
      <w:lvlJc w:val="left"/>
      <w:pPr>
        <w:ind w:left="7438" w:hanging="284"/>
      </w:pPr>
      <w:rPr>
        <w:rFonts w:hint="default"/>
      </w:rPr>
    </w:lvl>
  </w:abstractNum>
  <w:abstractNum w:abstractNumId="2" w15:restartNumberingAfterBreak="0">
    <w:nsid w:val="47152454"/>
    <w:multiLevelType w:val="hybridMultilevel"/>
    <w:tmpl w:val="C610D724"/>
    <w:lvl w:ilvl="0" w:tplc="081A4166">
      <w:numFmt w:val="bullet"/>
      <w:lvlText w:val=""/>
      <w:lvlJc w:val="left"/>
      <w:pPr>
        <w:ind w:left="386" w:hanging="284"/>
      </w:pPr>
      <w:rPr>
        <w:rFonts w:ascii="Wingdings" w:eastAsia="Wingdings" w:hAnsi="Wingdings" w:cs="Wingdings" w:hint="default"/>
        <w:color w:val="CC0000"/>
        <w:w w:val="99"/>
        <w:sz w:val="20"/>
        <w:szCs w:val="20"/>
      </w:rPr>
    </w:lvl>
    <w:lvl w:ilvl="1" w:tplc="472014F0">
      <w:numFmt w:val="bullet"/>
      <w:lvlText w:val="•"/>
      <w:lvlJc w:val="left"/>
      <w:pPr>
        <w:ind w:left="1262" w:hanging="284"/>
      </w:pPr>
      <w:rPr>
        <w:rFonts w:hint="default"/>
      </w:rPr>
    </w:lvl>
    <w:lvl w:ilvl="2" w:tplc="A2529DCA">
      <w:numFmt w:val="bullet"/>
      <w:lvlText w:val="•"/>
      <w:lvlJc w:val="left"/>
      <w:pPr>
        <w:ind w:left="2144" w:hanging="284"/>
      </w:pPr>
      <w:rPr>
        <w:rFonts w:hint="default"/>
      </w:rPr>
    </w:lvl>
    <w:lvl w:ilvl="3" w:tplc="D9ECE0EE">
      <w:numFmt w:val="bullet"/>
      <w:lvlText w:val="•"/>
      <w:lvlJc w:val="left"/>
      <w:pPr>
        <w:ind w:left="3027" w:hanging="284"/>
      </w:pPr>
      <w:rPr>
        <w:rFonts w:hint="default"/>
      </w:rPr>
    </w:lvl>
    <w:lvl w:ilvl="4" w:tplc="B79439D6">
      <w:numFmt w:val="bullet"/>
      <w:lvlText w:val="•"/>
      <w:lvlJc w:val="left"/>
      <w:pPr>
        <w:ind w:left="3909" w:hanging="284"/>
      </w:pPr>
      <w:rPr>
        <w:rFonts w:hint="default"/>
      </w:rPr>
    </w:lvl>
    <w:lvl w:ilvl="5" w:tplc="2384DBAC">
      <w:numFmt w:val="bullet"/>
      <w:lvlText w:val="•"/>
      <w:lvlJc w:val="left"/>
      <w:pPr>
        <w:ind w:left="4791" w:hanging="284"/>
      </w:pPr>
      <w:rPr>
        <w:rFonts w:hint="default"/>
      </w:rPr>
    </w:lvl>
    <w:lvl w:ilvl="6" w:tplc="D3DE8C88">
      <w:numFmt w:val="bullet"/>
      <w:lvlText w:val="•"/>
      <w:lvlJc w:val="left"/>
      <w:pPr>
        <w:ind w:left="5674" w:hanging="284"/>
      </w:pPr>
      <w:rPr>
        <w:rFonts w:hint="default"/>
      </w:rPr>
    </w:lvl>
    <w:lvl w:ilvl="7" w:tplc="BAAABD38">
      <w:numFmt w:val="bullet"/>
      <w:lvlText w:val="•"/>
      <w:lvlJc w:val="left"/>
      <w:pPr>
        <w:ind w:left="6556" w:hanging="284"/>
      </w:pPr>
      <w:rPr>
        <w:rFonts w:hint="default"/>
      </w:rPr>
    </w:lvl>
    <w:lvl w:ilvl="8" w:tplc="BDFC207A">
      <w:numFmt w:val="bullet"/>
      <w:lvlText w:val="•"/>
      <w:lvlJc w:val="left"/>
      <w:pPr>
        <w:ind w:left="7438" w:hanging="284"/>
      </w:pPr>
      <w:rPr>
        <w:rFonts w:hint="default"/>
      </w:rPr>
    </w:lvl>
  </w:abstractNum>
  <w:abstractNum w:abstractNumId="3" w15:restartNumberingAfterBreak="0">
    <w:nsid w:val="4A9E4811"/>
    <w:multiLevelType w:val="hybridMultilevel"/>
    <w:tmpl w:val="8CD89D76"/>
    <w:lvl w:ilvl="0" w:tplc="71F0A876">
      <w:numFmt w:val="bullet"/>
      <w:lvlText w:val=""/>
      <w:lvlJc w:val="left"/>
      <w:pPr>
        <w:ind w:left="386" w:hanging="284"/>
      </w:pPr>
      <w:rPr>
        <w:rFonts w:ascii="Wingdings" w:hAnsi="Wingdings" w:cs="Wingdings" w:hint="default"/>
        <w:color w:val="2F2A85"/>
        <w:w w:val="99"/>
        <w:sz w:val="20"/>
        <w:szCs w:val="20"/>
      </w:rPr>
    </w:lvl>
    <w:lvl w:ilvl="1" w:tplc="0764FF9C">
      <w:numFmt w:val="bullet"/>
      <w:lvlText w:val="•"/>
      <w:lvlJc w:val="left"/>
      <w:pPr>
        <w:ind w:left="1262" w:hanging="284"/>
      </w:pPr>
      <w:rPr>
        <w:rFonts w:hint="default"/>
      </w:rPr>
    </w:lvl>
    <w:lvl w:ilvl="2" w:tplc="996AEB5C">
      <w:numFmt w:val="bullet"/>
      <w:lvlText w:val="•"/>
      <w:lvlJc w:val="left"/>
      <w:pPr>
        <w:ind w:left="2144" w:hanging="284"/>
      </w:pPr>
      <w:rPr>
        <w:rFonts w:hint="default"/>
      </w:rPr>
    </w:lvl>
    <w:lvl w:ilvl="3" w:tplc="CED65CB2">
      <w:numFmt w:val="bullet"/>
      <w:lvlText w:val="•"/>
      <w:lvlJc w:val="left"/>
      <w:pPr>
        <w:ind w:left="3027" w:hanging="284"/>
      </w:pPr>
      <w:rPr>
        <w:rFonts w:hint="default"/>
      </w:rPr>
    </w:lvl>
    <w:lvl w:ilvl="4" w:tplc="95068252">
      <w:numFmt w:val="bullet"/>
      <w:lvlText w:val="•"/>
      <w:lvlJc w:val="left"/>
      <w:pPr>
        <w:ind w:left="3909" w:hanging="284"/>
      </w:pPr>
      <w:rPr>
        <w:rFonts w:hint="default"/>
      </w:rPr>
    </w:lvl>
    <w:lvl w:ilvl="5" w:tplc="1E4CCB28">
      <w:numFmt w:val="bullet"/>
      <w:lvlText w:val="•"/>
      <w:lvlJc w:val="left"/>
      <w:pPr>
        <w:ind w:left="4791" w:hanging="284"/>
      </w:pPr>
      <w:rPr>
        <w:rFonts w:hint="default"/>
      </w:rPr>
    </w:lvl>
    <w:lvl w:ilvl="6" w:tplc="57466FDE">
      <w:numFmt w:val="bullet"/>
      <w:lvlText w:val="•"/>
      <w:lvlJc w:val="left"/>
      <w:pPr>
        <w:ind w:left="5674" w:hanging="284"/>
      </w:pPr>
      <w:rPr>
        <w:rFonts w:hint="default"/>
      </w:rPr>
    </w:lvl>
    <w:lvl w:ilvl="7" w:tplc="257C67A8">
      <w:numFmt w:val="bullet"/>
      <w:lvlText w:val="•"/>
      <w:lvlJc w:val="left"/>
      <w:pPr>
        <w:ind w:left="6556" w:hanging="284"/>
      </w:pPr>
      <w:rPr>
        <w:rFonts w:hint="default"/>
      </w:rPr>
    </w:lvl>
    <w:lvl w:ilvl="8" w:tplc="211EBFAA">
      <w:numFmt w:val="bullet"/>
      <w:lvlText w:val="•"/>
      <w:lvlJc w:val="left"/>
      <w:pPr>
        <w:ind w:left="7438" w:hanging="284"/>
      </w:pPr>
      <w:rPr>
        <w:rFonts w:hint="default"/>
      </w:rPr>
    </w:lvl>
  </w:abstractNum>
  <w:abstractNum w:abstractNumId="4" w15:restartNumberingAfterBreak="0">
    <w:nsid w:val="4B915089"/>
    <w:multiLevelType w:val="hybridMultilevel"/>
    <w:tmpl w:val="A4365418"/>
    <w:lvl w:ilvl="0" w:tplc="AC744FB2">
      <w:numFmt w:val="bullet"/>
      <w:lvlText w:val=""/>
      <w:lvlJc w:val="left"/>
      <w:pPr>
        <w:ind w:left="386" w:hanging="284"/>
      </w:pPr>
      <w:rPr>
        <w:rFonts w:ascii="Wingdings" w:eastAsia="Wingdings" w:hAnsi="Wingdings" w:cs="Wingdings" w:hint="default"/>
        <w:color w:val="CC0000"/>
        <w:w w:val="99"/>
        <w:sz w:val="20"/>
        <w:szCs w:val="20"/>
      </w:rPr>
    </w:lvl>
    <w:lvl w:ilvl="1" w:tplc="F9F6D7D4">
      <w:numFmt w:val="bullet"/>
      <w:lvlText w:val="•"/>
      <w:lvlJc w:val="left"/>
      <w:pPr>
        <w:ind w:left="1262" w:hanging="284"/>
      </w:pPr>
      <w:rPr>
        <w:rFonts w:hint="default"/>
      </w:rPr>
    </w:lvl>
    <w:lvl w:ilvl="2" w:tplc="67A250F8">
      <w:numFmt w:val="bullet"/>
      <w:lvlText w:val="•"/>
      <w:lvlJc w:val="left"/>
      <w:pPr>
        <w:ind w:left="2144" w:hanging="284"/>
      </w:pPr>
      <w:rPr>
        <w:rFonts w:hint="default"/>
      </w:rPr>
    </w:lvl>
    <w:lvl w:ilvl="3" w:tplc="BA4461B6">
      <w:numFmt w:val="bullet"/>
      <w:lvlText w:val="•"/>
      <w:lvlJc w:val="left"/>
      <w:pPr>
        <w:ind w:left="3027" w:hanging="284"/>
      </w:pPr>
      <w:rPr>
        <w:rFonts w:hint="default"/>
      </w:rPr>
    </w:lvl>
    <w:lvl w:ilvl="4" w:tplc="035ADF46">
      <w:numFmt w:val="bullet"/>
      <w:lvlText w:val="•"/>
      <w:lvlJc w:val="left"/>
      <w:pPr>
        <w:ind w:left="3909" w:hanging="284"/>
      </w:pPr>
      <w:rPr>
        <w:rFonts w:hint="default"/>
      </w:rPr>
    </w:lvl>
    <w:lvl w:ilvl="5" w:tplc="3F7A8964">
      <w:numFmt w:val="bullet"/>
      <w:lvlText w:val="•"/>
      <w:lvlJc w:val="left"/>
      <w:pPr>
        <w:ind w:left="4791" w:hanging="284"/>
      </w:pPr>
      <w:rPr>
        <w:rFonts w:hint="default"/>
      </w:rPr>
    </w:lvl>
    <w:lvl w:ilvl="6" w:tplc="5406BA32">
      <w:numFmt w:val="bullet"/>
      <w:lvlText w:val="•"/>
      <w:lvlJc w:val="left"/>
      <w:pPr>
        <w:ind w:left="5674" w:hanging="284"/>
      </w:pPr>
      <w:rPr>
        <w:rFonts w:hint="default"/>
      </w:rPr>
    </w:lvl>
    <w:lvl w:ilvl="7" w:tplc="9F2023A8">
      <w:numFmt w:val="bullet"/>
      <w:lvlText w:val="•"/>
      <w:lvlJc w:val="left"/>
      <w:pPr>
        <w:ind w:left="6556" w:hanging="284"/>
      </w:pPr>
      <w:rPr>
        <w:rFonts w:hint="default"/>
      </w:rPr>
    </w:lvl>
    <w:lvl w:ilvl="8" w:tplc="37680ACA">
      <w:numFmt w:val="bullet"/>
      <w:lvlText w:val="•"/>
      <w:lvlJc w:val="left"/>
      <w:pPr>
        <w:ind w:left="7438" w:hanging="284"/>
      </w:pPr>
      <w:rPr>
        <w:rFonts w:hint="default"/>
      </w:rPr>
    </w:lvl>
  </w:abstractNum>
  <w:abstractNum w:abstractNumId="5" w15:restartNumberingAfterBreak="0">
    <w:nsid w:val="65E254EE"/>
    <w:multiLevelType w:val="hybridMultilevel"/>
    <w:tmpl w:val="070A5DC0"/>
    <w:lvl w:ilvl="0" w:tplc="28F0DCC6">
      <w:numFmt w:val="bullet"/>
      <w:lvlText w:val=""/>
      <w:lvlJc w:val="left"/>
      <w:pPr>
        <w:ind w:left="386" w:hanging="284"/>
      </w:pPr>
      <w:rPr>
        <w:rFonts w:ascii="Wingdings" w:eastAsia="Wingdings" w:hAnsi="Wingdings" w:cs="Wingdings" w:hint="default"/>
        <w:color w:val="CC0000"/>
        <w:w w:val="99"/>
        <w:sz w:val="20"/>
        <w:szCs w:val="20"/>
      </w:rPr>
    </w:lvl>
    <w:lvl w:ilvl="1" w:tplc="243A3436">
      <w:numFmt w:val="bullet"/>
      <w:lvlText w:val="•"/>
      <w:lvlJc w:val="left"/>
      <w:pPr>
        <w:ind w:left="1262" w:hanging="284"/>
      </w:pPr>
      <w:rPr>
        <w:rFonts w:hint="default"/>
      </w:rPr>
    </w:lvl>
    <w:lvl w:ilvl="2" w:tplc="489CED44">
      <w:numFmt w:val="bullet"/>
      <w:lvlText w:val="•"/>
      <w:lvlJc w:val="left"/>
      <w:pPr>
        <w:ind w:left="2144" w:hanging="284"/>
      </w:pPr>
      <w:rPr>
        <w:rFonts w:hint="default"/>
      </w:rPr>
    </w:lvl>
    <w:lvl w:ilvl="3" w:tplc="CE7CFCCC">
      <w:numFmt w:val="bullet"/>
      <w:lvlText w:val="•"/>
      <w:lvlJc w:val="left"/>
      <w:pPr>
        <w:ind w:left="3027" w:hanging="284"/>
      </w:pPr>
      <w:rPr>
        <w:rFonts w:hint="default"/>
      </w:rPr>
    </w:lvl>
    <w:lvl w:ilvl="4" w:tplc="C1B4991A">
      <w:numFmt w:val="bullet"/>
      <w:lvlText w:val="•"/>
      <w:lvlJc w:val="left"/>
      <w:pPr>
        <w:ind w:left="3909" w:hanging="284"/>
      </w:pPr>
      <w:rPr>
        <w:rFonts w:hint="default"/>
      </w:rPr>
    </w:lvl>
    <w:lvl w:ilvl="5" w:tplc="0BE4824A">
      <w:numFmt w:val="bullet"/>
      <w:lvlText w:val="•"/>
      <w:lvlJc w:val="left"/>
      <w:pPr>
        <w:ind w:left="4791" w:hanging="284"/>
      </w:pPr>
      <w:rPr>
        <w:rFonts w:hint="default"/>
      </w:rPr>
    </w:lvl>
    <w:lvl w:ilvl="6" w:tplc="DD7C866A">
      <w:numFmt w:val="bullet"/>
      <w:lvlText w:val="•"/>
      <w:lvlJc w:val="left"/>
      <w:pPr>
        <w:ind w:left="5674" w:hanging="284"/>
      </w:pPr>
      <w:rPr>
        <w:rFonts w:hint="default"/>
      </w:rPr>
    </w:lvl>
    <w:lvl w:ilvl="7" w:tplc="2274234E">
      <w:numFmt w:val="bullet"/>
      <w:lvlText w:val="•"/>
      <w:lvlJc w:val="left"/>
      <w:pPr>
        <w:ind w:left="6556" w:hanging="284"/>
      </w:pPr>
      <w:rPr>
        <w:rFonts w:hint="default"/>
      </w:rPr>
    </w:lvl>
    <w:lvl w:ilvl="8" w:tplc="D3C27700">
      <w:numFmt w:val="bullet"/>
      <w:lvlText w:val="•"/>
      <w:lvlJc w:val="left"/>
      <w:pPr>
        <w:ind w:left="7438" w:hanging="284"/>
      </w:pPr>
      <w:rPr>
        <w:rFont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12"/>
    <w:rsid w:val="000B3761"/>
    <w:rsid w:val="001F4F6C"/>
    <w:rsid w:val="003368D3"/>
    <w:rsid w:val="0035327D"/>
    <w:rsid w:val="00387DAB"/>
    <w:rsid w:val="003E72E0"/>
    <w:rsid w:val="00445C12"/>
    <w:rsid w:val="00630C80"/>
    <w:rsid w:val="006B5F81"/>
    <w:rsid w:val="006C33E4"/>
    <w:rsid w:val="0080216C"/>
    <w:rsid w:val="00862006"/>
    <w:rsid w:val="008B3E65"/>
    <w:rsid w:val="009A2265"/>
    <w:rsid w:val="00A27B17"/>
    <w:rsid w:val="00AE0637"/>
    <w:rsid w:val="00CB7733"/>
    <w:rsid w:val="00CC6810"/>
    <w:rsid w:val="00D02F6E"/>
    <w:rsid w:val="00E762C1"/>
    <w:rsid w:val="00F55F3A"/>
    <w:rsid w:val="00FF4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21BCB-80CE-4C0F-8B25-1A3BA29A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33E4"/>
    <w:rPr>
      <w:rFonts w:ascii="Arial" w:eastAsia="Arial" w:hAnsi="Arial" w:cs="Arial"/>
    </w:rPr>
  </w:style>
  <w:style w:type="paragraph" w:styleId="Titre2">
    <w:name w:val="heading 2"/>
    <w:basedOn w:val="Normal"/>
    <w:next w:val="Normal"/>
    <w:link w:val="Titre2Car"/>
    <w:uiPriority w:val="99"/>
    <w:qFormat/>
    <w:rsid w:val="00F55F3A"/>
    <w:pPr>
      <w:keepNext/>
      <w:widowControl/>
      <w:spacing w:before="1200"/>
      <w:ind w:left="4111"/>
      <w:jc w:val="center"/>
      <w:outlineLvl w:val="1"/>
    </w:pPr>
    <w:rPr>
      <w:rFonts w:ascii="New York" w:eastAsia="Times New Roman" w:hAnsi="New York" w:cs="New York"/>
      <w:i/>
      <w:iCs/>
      <w:sz w:val="24"/>
      <w:szCs w:val="24"/>
      <w:lang w:val="fr-FR" w:eastAsia="fr-FR"/>
    </w:rPr>
  </w:style>
  <w:style w:type="paragraph" w:styleId="Titre3">
    <w:name w:val="heading 3"/>
    <w:basedOn w:val="Normal"/>
    <w:next w:val="Normal"/>
    <w:link w:val="Titre3Car"/>
    <w:uiPriority w:val="9"/>
    <w:semiHidden/>
    <w:unhideWhenUsed/>
    <w:qFormat/>
    <w:rsid w:val="00FF4F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170"/>
      <w:ind w:left="386" w:hanging="283"/>
    </w:pPr>
  </w:style>
  <w:style w:type="character" w:styleId="Lienhypertexte">
    <w:name w:val="Hyperlink"/>
    <w:basedOn w:val="Policepardfaut"/>
    <w:uiPriority w:val="99"/>
    <w:unhideWhenUsed/>
    <w:rsid w:val="00CB7733"/>
    <w:rPr>
      <w:color w:val="0000FF" w:themeColor="hyperlink"/>
      <w:u w:val="single"/>
    </w:rPr>
  </w:style>
  <w:style w:type="paragraph" w:customStyle="1" w:styleId="TableHeading">
    <w:name w:val="TableHeading"/>
    <w:basedOn w:val="Normal"/>
    <w:rsid w:val="006C33E4"/>
    <w:pPr>
      <w:widowControl/>
      <w:autoSpaceDE/>
      <w:autoSpaceDN/>
      <w:spacing w:before="60" w:after="60"/>
      <w:ind w:left="72" w:right="72"/>
    </w:pPr>
    <w:rPr>
      <w:rFonts w:eastAsia="Times New Roman" w:cs="Times New Roman"/>
      <w:b/>
      <w:sz w:val="20"/>
      <w:szCs w:val="20"/>
      <w:lang w:bidi="he-IL"/>
    </w:rPr>
  </w:style>
  <w:style w:type="character" w:customStyle="1" w:styleId="Titre2Car">
    <w:name w:val="Titre 2 Car"/>
    <w:basedOn w:val="Policepardfaut"/>
    <w:link w:val="Titre2"/>
    <w:uiPriority w:val="99"/>
    <w:rsid w:val="00F55F3A"/>
    <w:rPr>
      <w:rFonts w:ascii="New York" w:eastAsia="Times New Roman" w:hAnsi="New York" w:cs="New York"/>
      <w:i/>
      <w:iCs/>
      <w:sz w:val="24"/>
      <w:szCs w:val="24"/>
      <w:lang w:val="fr-FR" w:eastAsia="fr-FR"/>
    </w:rPr>
  </w:style>
  <w:style w:type="character" w:customStyle="1" w:styleId="UnresolvedMention">
    <w:name w:val="Unresolved Mention"/>
    <w:basedOn w:val="Policepardfaut"/>
    <w:uiPriority w:val="99"/>
    <w:semiHidden/>
    <w:unhideWhenUsed/>
    <w:rsid w:val="00F55F3A"/>
    <w:rPr>
      <w:color w:val="605E5C"/>
      <w:shd w:val="clear" w:color="auto" w:fill="E1DFDD"/>
    </w:rPr>
  </w:style>
  <w:style w:type="character" w:customStyle="1" w:styleId="Titre3Car">
    <w:name w:val="Titre 3 Car"/>
    <w:basedOn w:val="Policepardfaut"/>
    <w:link w:val="Titre3"/>
    <w:uiPriority w:val="9"/>
    <w:semiHidden/>
    <w:rsid w:val="00FF4F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7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6119</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FICHE DE POSTE</vt:lpstr>
    </vt:vector>
  </TitlesOfParts>
  <Company>Ifsttar</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creator>Maria</dc:creator>
  <cp:lastModifiedBy>Sophie CAMBON GRAU</cp:lastModifiedBy>
  <cp:revision>2</cp:revision>
  <cp:lastPrinted>2020-01-16T07:12:00Z</cp:lastPrinted>
  <dcterms:created xsi:type="dcterms:W3CDTF">2020-06-12T13:15:00Z</dcterms:created>
  <dcterms:modified xsi:type="dcterms:W3CDTF">2020-06-12T13:15:00Z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2015-04-09T00:00:00Z</vt:filetime>
  </property>
  <property fmtid="{D5CDD505-2E9C-101B-9397-08002B2CF9AE}" pid="3" name="Creator">
    <vt:lpwstr>Microsoft® Word 2010</vt:lpwstr>
  </property>
  <property fmtid="{D5CDD505-2E9C-101B-9397-08002B2CF9AE}" pid="4" name="LastSaved">
    <vt:filetime>2020-01-15T00:00:00Z</vt:filetime>
  </property>
</Properties>
</file>