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AA" w:rsidRPr="00CD3BAA" w:rsidRDefault="00CD3BAA" w:rsidP="00CD3BA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CD3BAA">
        <w:rPr>
          <w:rFonts w:ascii="Times New Roman" w:hAnsi="Times New Roman" w:cs="Times New Roman"/>
          <w:b/>
          <w:sz w:val="44"/>
          <w:szCs w:val="24"/>
        </w:rPr>
        <w:t>CISMOP</w:t>
      </w:r>
    </w:p>
    <w:p w:rsidR="00DB73A3" w:rsidRDefault="00CD3BAA" w:rsidP="00CD3BA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4"/>
        </w:rPr>
      </w:pPr>
      <w:r w:rsidRPr="00CD3BAA">
        <w:rPr>
          <w:rFonts w:ascii="Times New Roman" w:hAnsi="Times New Roman" w:cs="Times New Roman"/>
          <w:b/>
          <w:color w:val="404040" w:themeColor="text1" w:themeTint="BF"/>
          <w:sz w:val="28"/>
          <w:szCs w:val="24"/>
        </w:rPr>
        <w:t>Bilan de la recherche-action</w:t>
      </w:r>
    </w:p>
    <w:p w:rsidR="00CD3BAA" w:rsidRPr="00CD3BAA" w:rsidRDefault="00CD3BAA" w:rsidP="00CD3BA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4"/>
        </w:rPr>
      </w:pPr>
    </w:p>
    <w:p w:rsidR="00AA16F5" w:rsidRDefault="00CD3BAA" w:rsidP="00CD3B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programme CISMOP (Co-construction &amp; Innovation dans les Services de Mobilité en Périurbain) s’est déroulé d’avril 2017 à septembre 2018 à Loos-en Gohelle. </w:t>
      </w:r>
      <w:r w:rsidR="00AA16F5">
        <w:rPr>
          <w:rFonts w:ascii="Times New Roman" w:hAnsi="Times New Roman" w:cs="Times New Roman"/>
          <w:sz w:val="24"/>
          <w:szCs w:val="24"/>
        </w:rPr>
        <w:t>Il a été f</w:t>
      </w:r>
      <w:r>
        <w:rPr>
          <w:rFonts w:ascii="Times New Roman" w:hAnsi="Times New Roman" w:cs="Times New Roman"/>
          <w:sz w:val="24"/>
          <w:szCs w:val="24"/>
        </w:rPr>
        <w:t>inancé par l’IFSTTAR et par la région Hauts de France</w:t>
      </w:r>
      <w:r w:rsidR="00AA16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6F5" w:rsidRPr="00AA16F5" w:rsidRDefault="00AA16F5" w:rsidP="00AA16F5">
      <w:pPr>
        <w:ind w:firstLine="708"/>
        <w:jc w:val="both"/>
        <w:rPr>
          <w:rFonts w:ascii="Times New Roman" w:hAnsi="Times New Roman" w:cs="Times New Roman"/>
          <w:b/>
          <w:color w:val="538135" w:themeColor="accent6" w:themeShade="BF"/>
          <w:sz w:val="28"/>
          <w:szCs w:val="24"/>
        </w:rPr>
      </w:pPr>
      <w:r w:rsidRPr="00AA16F5">
        <w:rPr>
          <w:rFonts w:ascii="Times New Roman" w:hAnsi="Times New Roman" w:cs="Times New Roman"/>
          <w:b/>
          <w:color w:val="538135" w:themeColor="accent6" w:themeShade="BF"/>
          <w:sz w:val="28"/>
          <w:szCs w:val="24"/>
        </w:rPr>
        <w:t>METHODES</w:t>
      </w:r>
      <w:bookmarkStart w:id="0" w:name="_GoBack"/>
      <w:bookmarkEnd w:id="0"/>
    </w:p>
    <w:p w:rsidR="00CD3BAA" w:rsidRDefault="00AA16F5" w:rsidP="00CD3B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programme</w:t>
      </w:r>
      <w:r w:rsidR="00CD3BAA">
        <w:rPr>
          <w:rFonts w:ascii="Times New Roman" w:hAnsi="Times New Roman" w:cs="Times New Roman"/>
          <w:sz w:val="24"/>
          <w:szCs w:val="24"/>
        </w:rPr>
        <w:t xml:space="preserve"> a comporté 4 phases. Chacune des phases s’est nourrie de la précédente et a préparé la suivante.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126"/>
        <w:gridCol w:w="2268"/>
      </w:tblGrid>
      <w:tr w:rsidR="00BD606E" w:rsidTr="00D726F5">
        <w:tc>
          <w:tcPr>
            <w:tcW w:w="9072" w:type="dxa"/>
            <w:gridSpan w:val="4"/>
          </w:tcPr>
          <w:p w:rsidR="00BD606E" w:rsidRDefault="00BD606E" w:rsidP="00CD3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fr-FR"/>
              </w:rPr>
              <w:drawing>
                <wp:inline distT="0" distB="0" distL="0" distR="0" wp14:anchorId="1EB22D88" wp14:editId="34898BDB">
                  <wp:extent cx="5682708" cy="91134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295" b="30074"/>
                          <a:stretch/>
                        </pic:blipFill>
                        <pic:spPr bwMode="auto">
                          <a:xfrm>
                            <a:off x="0" y="0"/>
                            <a:ext cx="5788794" cy="928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6F5" w:rsidTr="00400E42">
        <w:tc>
          <w:tcPr>
            <w:tcW w:w="2410" w:type="dxa"/>
            <w:tcMar>
              <w:left w:w="142" w:type="dxa"/>
              <w:right w:w="142" w:type="dxa"/>
            </w:tcMar>
          </w:tcPr>
          <w:p w:rsidR="00BD606E" w:rsidRPr="00255756" w:rsidRDefault="00255756" w:rsidP="00BF2B63">
            <w:pPr>
              <w:pStyle w:val="Paragraphedeliste"/>
              <w:numPr>
                <w:ilvl w:val="0"/>
                <w:numId w:val="1"/>
              </w:numPr>
              <w:ind w:left="425" w:hanging="28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575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Test</w:t>
            </w:r>
            <w:r w:rsidR="00BD606E" w:rsidRPr="0025575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BF2B6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des </w:t>
            </w:r>
            <w:r w:rsidR="00BD606E" w:rsidRPr="0025575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mobilité</w:t>
            </w:r>
            <w:r w:rsidRPr="0025575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s</w:t>
            </w:r>
            <w:r w:rsidR="00BD606E" w:rsidRPr="0025575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existantes</w:t>
            </w:r>
          </w:p>
          <w:p w:rsidR="00255756" w:rsidRPr="00255756" w:rsidRDefault="00255756" w:rsidP="00BF2B63">
            <w:pPr>
              <w:pStyle w:val="Paragraphedeliste"/>
              <w:numPr>
                <w:ilvl w:val="0"/>
                <w:numId w:val="1"/>
              </w:numPr>
              <w:ind w:left="425" w:hanging="28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575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Parking Day</w:t>
            </w:r>
          </w:p>
          <w:p w:rsidR="00255756" w:rsidRPr="00255756" w:rsidRDefault="00255756" w:rsidP="00BF2B63">
            <w:pPr>
              <w:pStyle w:val="Paragraphedeliste"/>
              <w:numPr>
                <w:ilvl w:val="0"/>
                <w:numId w:val="1"/>
              </w:numPr>
              <w:ind w:left="425" w:hanging="28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575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Ateliers « jeunes » et « mamies »</w:t>
            </w:r>
          </w:p>
          <w:p w:rsidR="00BD606E" w:rsidRDefault="00BD606E" w:rsidP="00BF2B63">
            <w:pPr>
              <w:pStyle w:val="Paragraphedeliste"/>
              <w:numPr>
                <w:ilvl w:val="0"/>
                <w:numId w:val="1"/>
              </w:numPr>
              <w:ind w:left="425" w:hanging="28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575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Interviews</w:t>
            </w:r>
          </w:p>
          <w:p w:rsidR="00D726F5" w:rsidRPr="00255756" w:rsidRDefault="00D726F5" w:rsidP="00D726F5">
            <w:pPr>
              <w:pStyle w:val="Paragraphedeliste"/>
              <w:ind w:left="425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142" w:type="dxa"/>
              <w:right w:w="142" w:type="dxa"/>
            </w:tcMar>
          </w:tcPr>
          <w:p w:rsidR="00BD606E" w:rsidRDefault="00255756" w:rsidP="00BF2B63">
            <w:pPr>
              <w:pStyle w:val="Paragraphedeliste"/>
              <w:numPr>
                <w:ilvl w:val="0"/>
                <w:numId w:val="1"/>
              </w:numPr>
              <w:ind w:left="434" w:hanging="306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575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300 questionnaires</w:t>
            </w:r>
          </w:p>
          <w:p w:rsidR="00BF2B63" w:rsidRDefault="00BF2B63" w:rsidP="00BF2B63">
            <w:pPr>
              <w:pStyle w:val="Paragraphedeliste"/>
              <w:numPr>
                <w:ilvl w:val="0"/>
                <w:numId w:val="1"/>
              </w:numPr>
              <w:ind w:left="434" w:hanging="306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Données AULA, Mission Bassin Minier, INSEE, </w:t>
            </w:r>
            <w:proofErr w:type="spellStart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etc</w:t>
            </w:r>
            <w:proofErr w:type="spellEnd"/>
          </w:p>
          <w:p w:rsidR="00D726F5" w:rsidRPr="00255756" w:rsidRDefault="00D726F5" w:rsidP="00D726F5">
            <w:pPr>
              <w:pStyle w:val="Paragraphedeliste"/>
              <w:ind w:left="434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142" w:type="dxa"/>
              <w:right w:w="142" w:type="dxa"/>
            </w:tcMar>
          </w:tcPr>
          <w:p w:rsidR="00BD606E" w:rsidRDefault="00255756" w:rsidP="00BF2B63">
            <w:pPr>
              <w:pStyle w:val="Paragraphedeliste"/>
              <w:numPr>
                <w:ilvl w:val="0"/>
                <w:numId w:val="1"/>
              </w:numPr>
              <w:ind w:left="354" w:hanging="28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575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6 apéros-mobilités</w:t>
            </w:r>
          </w:p>
          <w:p w:rsidR="00BF2B63" w:rsidRPr="00255756" w:rsidRDefault="00BF2B63" w:rsidP="00BF2B63">
            <w:pPr>
              <w:pStyle w:val="Paragraphedeliste"/>
              <w:numPr>
                <w:ilvl w:val="0"/>
                <w:numId w:val="1"/>
              </w:numPr>
              <w:ind w:left="354" w:hanging="28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30 participants</w:t>
            </w:r>
          </w:p>
        </w:tc>
        <w:tc>
          <w:tcPr>
            <w:tcW w:w="2268" w:type="dxa"/>
            <w:tcMar>
              <w:left w:w="142" w:type="dxa"/>
              <w:right w:w="142" w:type="dxa"/>
            </w:tcMar>
          </w:tcPr>
          <w:p w:rsidR="00BF2B63" w:rsidRDefault="00BF2B63" w:rsidP="00BF2B63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F2B6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1 mois </w:t>
            </w:r>
          </w:p>
          <w:p w:rsidR="00BF2B63" w:rsidRDefault="00BF2B63" w:rsidP="00BF2B63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F2B6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38 défis proposés</w:t>
            </w:r>
          </w:p>
          <w:p w:rsidR="00BF2B63" w:rsidRPr="00BF2B63" w:rsidRDefault="00BF2B63" w:rsidP="00BF2B63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12 stands</w:t>
            </w:r>
          </w:p>
          <w:p w:rsidR="00255756" w:rsidRPr="00BF2B63" w:rsidRDefault="00255756" w:rsidP="00BF2B63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F2B6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500 participants</w:t>
            </w:r>
          </w:p>
        </w:tc>
      </w:tr>
      <w:tr w:rsidR="00D726F5" w:rsidTr="00400E42">
        <w:tc>
          <w:tcPr>
            <w:tcW w:w="2410" w:type="dxa"/>
            <w:tcMar>
              <w:left w:w="142" w:type="dxa"/>
              <w:right w:w="142" w:type="dxa"/>
            </w:tcMar>
          </w:tcPr>
          <w:p w:rsidR="00D726F5" w:rsidRPr="00400E42" w:rsidRDefault="00D726F5" w:rsidP="00D726F5">
            <w:pPr>
              <w:pStyle w:val="Paragraphedeliste"/>
              <w:numPr>
                <w:ilvl w:val="0"/>
                <w:numId w:val="2"/>
              </w:numPr>
              <w:ind w:left="425" w:hanging="283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400E42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Compréhension fine des enjeux</w:t>
            </w:r>
          </w:p>
        </w:tc>
        <w:tc>
          <w:tcPr>
            <w:tcW w:w="2268" w:type="dxa"/>
            <w:tcMar>
              <w:left w:w="142" w:type="dxa"/>
              <w:right w:w="142" w:type="dxa"/>
            </w:tcMar>
          </w:tcPr>
          <w:p w:rsidR="00D726F5" w:rsidRPr="00400E42" w:rsidRDefault="00D726F5" w:rsidP="00D726F5">
            <w:pPr>
              <w:pStyle w:val="Paragraphedeliste"/>
              <w:numPr>
                <w:ilvl w:val="0"/>
                <w:numId w:val="2"/>
              </w:numPr>
              <w:ind w:left="366" w:hanging="283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400E42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Quantification et qualification des problèmes</w:t>
            </w:r>
          </w:p>
        </w:tc>
        <w:tc>
          <w:tcPr>
            <w:tcW w:w="2126" w:type="dxa"/>
            <w:tcMar>
              <w:left w:w="142" w:type="dxa"/>
              <w:right w:w="142" w:type="dxa"/>
            </w:tcMar>
          </w:tcPr>
          <w:p w:rsidR="00D726F5" w:rsidRPr="00400E42" w:rsidRDefault="00D726F5" w:rsidP="00D726F5">
            <w:pPr>
              <w:pStyle w:val="Paragraphedeliste"/>
              <w:numPr>
                <w:ilvl w:val="0"/>
                <w:numId w:val="2"/>
              </w:numPr>
              <w:ind w:left="255" w:hanging="255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400E42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Sensibilisation, Montage de projet</w:t>
            </w:r>
          </w:p>
        </w:tc>
        <w:tc>
          <w:tcPr>
            <w:tcW w:w="2268" w:type="dxa"/>
            <w:tcMar>
              <w:left w:w="142" w:type="dxa"/>
              <w:right w:w="142" w:type="dxa"/>
            </w:tcMar>
          </w:tcPr>
          <w:p w:rsidR="00D726F5" w:rsidRPr="00400E42" w:rsidRDefault="00400E42" w:rsidP="00400E42">
            <w:pPr>
              <w:pStyle w:val="Paragraphedeliste"/>
              <w:numPr>
                <w:ilvl w:val="0"/>
                <w:numId w:val="2"/>
              </w:numPr>
              <w:ind w:left="425" w:hanging="283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400E42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Test</w:t>
            </w:r>
            <w:r w:rsidR="00D726F5" w:rsidRPr="00400E42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, changement de comportement</w:t>
            </w:r>
          </w:p>
        </w:tc>
      </w:tr>
    </w:tbl>
    <w:p w:rsidR="00BD606E" w:rsidRDefault="00BD606E" w:rsidP="00CD3B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3BAA" w:rsidRDefault="007E722E" w:rsidP="007E72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L’enjeu, pour les chercheur, était de tester l’hypothèse selon laquelle l’échelle locale et la participation d’un public le plus diversifié possible à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-construction de solutions de mobilité sur-mesure pour le territoire pouvait amener à une transition vers des mobilités plus écologiques et solidaires. Nous souhaitions créer, via différents formats d’enrôlement des habitants, des conditions d’observations propices à cerner comment les comportements peuvent changer (ou non) concernant les habitudes de déplacement au quotidien. Nous voulions également savoir s’il était possible d’envisager 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</w:t>
      </w:r>
      <w:proofErr w:type="spellEnd"/>
      <w:r>
        <w:rPr>
          <w:rFonts w:ascii="Times New Roman" w:hAnsi="Times New Roman" w:cs="Times New Roman"/>
          <w:sz w:val="24"/>
          <w:szCs w:val="24"/>
        </w:rPr>
        <w:t>-design de solutions innovantes impliquant les nouvelles technologies de l’information et de la communication.</w:t>
      </w:r>
    </w:p>
    <w:p w:rsidR="00AA16F5" w:rsidRDefault="00AA16F5" w:rsidP="007E72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16F5" w:rsidRPr="00AA16F5" w:rsidRDefault="009D62DE" w:rsidP="007E722E">
      <w:pPr>
        <w:ind w:firstLine="708"/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DIAGNOSTIC</w:t>
      </w:r>
    </w:p>
    <w:p w:rsidR="00CD3BAA" w:rsidRDefault="00B75FB0" w:rsidP="009D62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voiture reste le moyen de déplacement privilégié des loossois, en tout cas dans les déplacements domicile-travail (85% des répondants). Un quart des lo</w:t>
      </w:r>
      <w:r w:rsidR="00CA0C5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ssois se dit prêt à moins utiliser </w:t>
      </w:r>
      <w:r w:rsidR="009D62DE">
        <w:rPr>
          <w:rFonts w:ascii="Times New Roman" w:hAnsi="Times New Roman" w:cs="Times New Roman"/>
          <w:sz w:val="24"/>
          <w:szCs w:val="24"/>
        </w:rPr>
        <w:t>son véhicule</w:t>
      </w:r>
      <w:r>
        <w:rPr>
          <w:rFonts w:ascii="Times New Roman" w:hAnsi="Times New Roman" w:cs="Times New Roman"/>
          <w:sz w:val="24"/>
          <w:szCs w:val="24"/>
        </w:rPr>
        <w:t>, ce qui parait possible puisqu’un déplacement sur 2 est inférieur à 2 km. Ces résultats peuvent être nuancés par le fait que cohabitent à Loo</w:t>
      </w:r>
      <w:r w:rsidR="009D62DE">
        <w:rPr>
          <w:rFonts w:ascii="Times New Roman" w:hAnsi="Times New Roman" w:cs="Times New Roman"/>
          <w:sz w:val="24"/>
          <w:szCs w:val="24"/>
        </w:rPr>
        <w:t>s en Gohelle 3 types de ville : l</w:t>
      </w:r>
      <w:r>
        <w:rPr>
          <w:rFonts w:ascii="Times New Roman" w:hAnsi="Times New Roman" w:cs="Times New Roman"/>
          <w:sz w:val="24"/>
          <w:szCs w:val="24"/>
        </w:rPr>
        <w:t>es habitants du centre-ville, proche des commerces et des services, les habitants du Quartier Ouest davantage isolés</w:t>
      </w:r>
      <w:r w:rsidR="009D62DE">
        <w:rPr>
          <w:rFonts w:ascii="Times New Roman" w:hAnsi="Times New Roman" w:cs="Times New Roman"/>
          <w:sz w:val="24"/>
          <w:szCs w:val="24"/>
        </w:rPr>
        <w:t xml:space="preserve">, moins aisés, et enfin les « pendulaires » de la Base 11-19 qui vivent majoritairement dans les grandes métropoles et pourraient participer à l’avènement d’un « smart-périurbain ». </w:t>
      </w:r>
    </w:p>
    <w:p w:rsidR="00AA16F5" w:rsidRDefault="009D62DE" w:rsidP="000D70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Les a</w:t>
      </w:r>
      <w:r w:rsidR="00AA16F5">
        <w:rPr>
          <w:rFonts w:ascii="Times New Roman" w:hAnsi="Times New Roman" w:cs="Times New Roman"/>
          <w:sz w:val="24"/>
          <w:szCs w:val="24"/>
        </w:rPr>
        <w:t>bords des écoles</w:t>
      </w:r>
      <w:r>
        <w:rPr>
          <w:rFonts w:ascii="Times New Roman" w:hAnsi="Times New Roman" w:cs="Times New Roman"/>
          <w:sz w:val="24"/>
          <w:szCs w:val="24"/>
        </w:rPr>
        <w:t xml:space="preserve"> restent une problématique forte de congestion et de sécurité. Un groupe de loossois s’est penché sur cette question. Les enjeux autour du développement du v</w:t>
      </w:r>
      <w:r w:rsidR="00AA16F5">
        <w:rPr>
          <w:rFonts w:ascii="Times New Roman" w:hAnsi="Times New Roman" w:cs="Times New Roman"/>
          <w:sz w:val="24"/>
          <w:szCs w:val="24"/>
        </w:rPr>
        <w:t>élo</w:t>
      </w:r>
      <w:r w:rsidR="000D7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ont aussi bien mobilisé les habitants. Enfin, les transports en commun, proposant pour le moment un service peu satisfaisants, les loossois ont souhaité réfléchir à des services de mobilité partagé d’une autre nature (échange). </w:t>
      </w:r>
    </w:p>
    <w:p w:rsidR="009D62DE" w:rsidRDefault="009D62DE">
      <w:pPr>
        <w:rPr>
          <w:rFonts w:ascii="Times New Roman" w:hAnsi="Times New Roman" w:cs="Times New Roman"/>
          <w:sz w:val="24"/>
          <w:szCs w:val="24"/>
        </w:rPr>
      </w:pPr>
    </w:p>
    <w:p w:rsidR="00A75323" w:rsidRDefault="00AA16F5">
      <w:pPr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5323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MICRO –</w:t>
      </w:r>
      <w:r w:rsidR="00A75323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</w:t>
      </w:r>
      <w:r w:rsidRPr="00A75323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S</w:t>
      </w:r>
      <w:r w:rsidR="00A75323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OLUTIONS</w:t>
      </w:r>
    </w:p>
    <w:tbl>
      <w:tblPr>
        <w:tblStyle w:val="Grilledutableau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0"/>
        <w:gridCol w:w="430"/>
        <w:gridCol w:w="146"/>
        <w:gridCol w:w="4429"/>
      </w:tblGrid>
      <w:tr w:rsidR="00B75FB0" w:rsidTr="000D70E1">
        <w:trPr>
          <w:trHeight w:val="1694"/>
        </w:trPr>
        <w:tc>
          <w:tcPr>
            <w:tcW w:w="4258" w:type="dxa"/>
            <w:gridSpan w:val="2"/>
          </w:tcPr>
          <w:p w:rsidR="00A75323" w:rsidRDefault="00A75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325292B" wp14:editId="53A92F69">
                  <wp:extent cx="740664" cy="777867"/>
                  <wp:effectExtent l="0" t="0" r="2540" b="3810"/>
                  <wp:docPr id="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346" cy="812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B2147">
              <w:rPr>
                <w:noProof/>
                <w:lang w:eastAsia="fr-FR"/>
              </w:rPr>
              <w:t xml:space="preserve">  </w:t>
            </w:r>
            <w:r w:rsidR="002B2147">
              <w:rPr>
                <w:noProof/>
                <w:lang w:eastAsia="fr-FR"/>
              </w:rPr>
              <w:drawing>
                <wp:inline distT="0" distB="0" distL="0" distR="0" wp14:anchorId="1C8CB25A" wp14:editId="5CA2ED0D">
                  <wp:extent cx="586890" cy="850392"/>
                  <wp:effectExtent l="0" t="0" r="3810" b="698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17" cy="863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B2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B2147">
              <w:rPr>
                <w:noProof/>
                <w:lang w:eastAsia="fr-FR"/>
              </w:rPr>
              <w:drawing>
                <wp:inline distT="0" distB="0" distL="0" distR="0" wp14:anchorId="716CFB10" wp14:editId="7CE891DD">
                  <wp:extent cx="759827" cy="996696"/>
                  <wp:effectExtent l="0" t="0" r="254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125" cy="1001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gridSpan w:val="2"/>
          </w:tcPr>
          <w:p w:rsidR="002B2147" w:rsidRDefault="002B214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75323" w:rsidRDefault="00A75323" w:rsidP="004143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199B">
              <w:rPr>
                <w:rFonts w:ascii="Times New Roman" w:hAnsi="Times New Roman" w:cs="Times New Roman"/>
                <w:b/>
                <w:sz w:val="24"/>
              </w:rPr>
              <w:t>10 kits SOS vélo</w:t>
            </w:r>
            <w:r w:rsidRPr="00A3199B">
              <w:rPr>
                <w:rFonts w:ascii="Times New Roman" w:hAnsi="Times New Roman" w:cs="Times New Roman"/>
                <w:sz w:val="24"/>
              </w:rPr>
              <w:t xml:space="preserve"> ont été </w:t>
            </w:r>
            <w:r>
              <w:rPr>
                <w:rFonts w:ascii="Times New Roman" w:hAnsi="Times New Roman" w:cs="Times New Roman"/>
                <w:sz w:val="24"/>
              </w:rPr>
              <w:t xml:space="preserve">financés par l’IFSTTAR et </w:t>
            </w:r>
            <w:r w:rsidRPr="00A3199B">
              <w:rPr>
                <w:rFonts w:ascii="Times New Roman" w:hAnsi="Times New Roman" w:cs="Times New Roman"/>
                <w:sz w:val="24"/>
              </w:rPr>
              <w:t xml:space="preserve">distribués dans la ville </w:t>
            </w:r>
            <w:r>
              <w:rPr>
                <w:rFonts w:ascii="Times New Roman" w:hAnsi="Times New Roman" w:cs="Times New Roman"/>
                <w:sz w:val="24"/>
              </w:rPr>
              <w:t>avec le soutien de l’</w:t>
            </w:r>
            <w:r w:rsidRPr="00A3199B">
              <w:rPr>
                <w:rFonts w:ascii="Times New Roman" w:hAnsi="Times New Roman" w:cs="Times New Roman"/>
                <w:sz w:val="24"/>
              </w:rPr>
              <w:t>A</w:t>
            </w:r>
            <w:r w:rsidR="00944D23">
              <w:rPr>
                <w:rFonts w:ascii="Times New Roman" w:hAnsi="Times New Roman" w:cs="Times New Roman"/>
                <w:sz w:val="24"/>
              </w:rPr>
              <w:t>DAV (Association Droit au Vélo)</w:t>
            </w:r>
          </w:p>
          <w:p w:rsidR="00B75FB0" w:rsidRDefault="00B75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FB0" w:rsidTr="00414389">
        <w:tc>
          <w:tcPr>
            <w:tcW w:w="4506" w:type="dxa"/>
            <w:gridSpan w:val="3"/>
          </w:tcPr>
          <w:p w:rsidR="00B75FB0" w:rsidRDefault="00B75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130D1A3" wp14:editId="48E7018D">
                  <wp:extent cx="2560320" cy="1084966"/>
                  <wp:effectExtent l="133350" t="114300" r="144780" b="17272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013" cy="11348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9" w:type="dxa"/>
          </w:tcPr>
          <w:p w:rsidR="00B75FB0" w:rsidRDefault="00B75FB0" w:rsidP="002B2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13365EC" wp14:editId="0BDA0307">
                  <wp:extent cx="2516401" cy="1069848"/>
                  <wp:effectExtent l="133350" t="114300" r="151130" b="14986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351" cy="11182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147" w:rsidTr="00414389">
        <w:tc>
          <w:tcPr>
            <w:tcW w:w="8935" w:type="dxa"/>
            <w:gridSpan w:val="4"/>
          </w:tcPr>
          <w:p w:rsidR="002B2147" w:rsidRDefault="002B2147" w:rsidP="000D70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3 000</w:t>
            </w:r>
            <w:r w:rsidRPr="00E82270">
              <w:rPr>
                <w:rFonts w:ascii="Times New Roman" w:hAnsi="Times New Roman" w:cs="Times New Roman"/>
                <w:b/>
                <w:sz w:val="24"/>
              </w:rPr>
              <w:t xml:space="preserve"> PV pédagogiques</w:t>
            </w:r>
            <w:r>
              <w:rPr>
                <w:rFonts w:ascii="Times New Roman" w:hAnsi="Times New Roman" w:cs="Times New Roman"/>
                <w:sz w:val="24"/>
              </w:rPr>
              <w:t xml:space="preserve"> ont été réali</w:t>
            </w:r>
            <w:r w:rsidR="00C00DCA">
              <w:rPr>
                <w:rFonts w:ascii="Times New Roman" w:hAnsi="Times New Roman" w:cs="Times New Roman"/>
                <w:sz w:val="24"/>
              </w:rPr>
              <w:t>sés à partir</w:t>
            </w:r>
            <w:r>
              <w:rPr>
                <w:rFonts w:ascii="Times New Roman" w:hAnsi="Times New Roman" w:cs="Times New Roman"/>
                <w:sz w:val="24"/>
              </w:rPr>
              <w:t xml:space="preserve"> de dessins </w:t>
            </w:r>
            <w:r w:rsidR="000D70E1">
              <w:rPr>
                <w:rFonts w:ascii="Times New Roman" w:hAnsi="Times New Roman" w:cs="Times New Roman"/>
                <w:sz w:val="24"/>
              </w:rPr>
              <w:t>d’</w:t>
            </w:r>
            <w:r>
              <w:rPr>
                <w:rFonts w:ascii="Times New Roman" w:hAnsi="Times New Roman" w:cs="Times New Roman"/>
                <w:sz w:val="24"/>
              </w:rPr>
              <w:t>enfants sur le thème « ta voiture me gêne ».</w:t>
            </w:r>
            <w:r w:rsidR="000D70E1">
              <w:rPr>
                <w:rFonts w:ascii="Times New Roman" w:hAnsi="Times New Roman" w:cs="Times New Roman"/>
                <w:sz w:val="24"/>
              </w:rPr>
              <w:t xml:space="preserve"> Les loossois ont voté en ligne pour leurs 3 dessins préférés.</w:t>
            </w:r>
          </w:p>
          <w:p w:rsidR="00B75FB0" w:rsidRPr="00B75FB0" w:rsidRDefault="00B75F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75FB0" w:rsidTr="00414389">
        <w:trPr>
          <w:trHeight w:val="1757"/>
        </w:trPr>
        <w:tc>
          <w:tcPr>
            <w:tcW w:w="3483" w:type="dxa"/>
            <w:vAlign w:val="center"/>
          </w:tcPr>
          <w:p w:rsidR="00B75FB0" w:rsidRDefault="00B75FB0" w:rsidP="00A753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F576EE2" wp14:editId="5845CA6A">
                  <wp:extent cx="2167128" cy="1083564"/>
                  <wp:effectExtent l="0" t="0" r="5080" b="254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110" cy="110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2" w:type="dxa"/>
            <w:gridSpan w:val="3"/>
            <w:vAlign w:val="center"/>
          </w:tcPr>
          <w:p w:rsidR="00B75FB0" w:rsidRDefault="00B75FB0" w:rsidP="00B75F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2270">
              <w:rPr>
                <w:rFonts w:ascii="Times New Roman" w:hAnsi="Times New Roman" w:cs="Times New Roman"/>
                <w:b/>
                <w:sz w:val="24"/>
              </w:rPr>
              <w:t xml:space="preserve">Le projet </w:t>
            </w:r>
            <w:proofErr w:type="spellStart"/>
            <w:r w:rsidRPr="00E82270">
              <w:rPr>
                <w:rFonts w:ascii="Times New Roman" w:hAnsi="Times New Roman" w:cs="Times New Roman"/>
                <w:b/>
                <w:sz w:val="24"/>
              </w:rPr>
              <w:t>Menadel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qui organise des échanges de services entre habitants a pu intégrer des services de mobilité : prêt de </w:t>
            </w:r>
            <w:r w:rsidRPr="00DD60EA">
              <w:rPr>
                <w:rFonts w:ascii="Times New Roman" w:hAnsi="Times New Roman" w:cs="Times New Roman"/>
                <w:sz w:val="24"/>
              </w:rPr>
              <w:t>voiture, garage +</w:t>
            </w:r>
            <w:r>
              <w:rPr>
                <w:rFonts w:ascii="Times New Roman" w:hAnsi="Times New Roman" w:cs="Times New Roman"/>
                <w:sz w:val="24"/>
              </w:rPr>
              <w:t xml:space="preserve"> vélos, rollers, trottinette et </w:t>
            </w:r>
            <w:r w:rsidRPr="00DD60EA">
              <w:rPr>
                <w:rFonts w:ascii="Times New Roman" w:hAnsi="Times New Roman" w:cs="Times New Roman"/>
                <w:sz w:val="24"/>
              </w:rPr>
              <w:t>aide</w:t>
            </w:r>
            <w:r>
              <w:rPr>
                <w:rFonts w:ascii="Times New Roman" w:hAnsi="Times New Roman" w:cs="Times New Roman"/>
                <w:sz w:val="24"/>
              </w:rPr>
              <w:t xml:space="preserve"> au déplacement</w:t>
            </w:r>
            <w:r w:rsidRPr="00DD60EA">
              <w:rPr>
                <w:rFonts w:ascii="Times New Roman" w:hAnsi="Times New Roman" w:cs="Times New Roman"/>
                <w:sz w:val="24"/>
              </w:rPr>
              <w:t>, livraison, relai-colis, réparation voiture/vélos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Menadel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 aussi l’ambition d’ouvrir un </w:t>
            </w:r>
            <w:proofErr w:type="spellStart"/>
            <w:r w:rsidRPr="00C00DCA">
              <w:rPr>
                <w:rFonts w:ascii="Times New Roman" w:hAnsi="Times New Roman" w:cs="Times New Roman"/>
                <w:i/>
                <w:sz w:val="24"/>
              </w:rPr>
              <w:t>Repair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Café.</w:t>
            </w:r>
          </w:p>
        </w:tc>
      </w:tr>
    </w:tbl>
    <w:p w:rsidR="00AA16F5" w:rsidRDefault="00AA16F5">
      <w:pPr>
        <w:rPr>
          <w:rFonts w:ascii="Times New Roman" w:hAnsi="Times New Roman" w:cs="Times New Roman"/>
          <w:sz w:val="24"/>
          <w:szCs w:val="24"/>
        </w:rPr>
      </w:pPr>
    </w:p>
    <w:p w:rsidR="00CD3BAA" w:rsidRPr="009D62DE" w:rsidRDefault="009D62DE">
      <w:pPr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LE</w:t>
      </w:r>
      <w:r w:rsidRPr="009D62DE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DEFI </w:t>
      </w:r>
      <w:proofErr w:type="spellStart"/>
      <w:r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MobiLoos</w:t>
      </w:r>
      <w:proofErr w:type="spellEnd"/>
    </w:p>
    <w:p w:rsidR="009D62DE" w:rsidRDefault="006C6B53" w:rsidP="006C6B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défi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Mobiloos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0E1">
        <w:rPr>
          <w:rFonts w:ascii="Times New Roman" w:hAnsi="Times New Roman" w:cs="Times New Roman"/>
          <w:sz w:val="24"/>
          <w:szCs w:val="24"/>
        </w:rPr>
        <w:t xml:space="preserve">(1 mois pour changer ses habitudes de déplacement) </w:t>
      </w:r>
      <w:r>
        <w:rPr>
          <w:rFonts w:ascii="Times New Roman" w:hAnsi="Times New Roman" w:cs="Times New Roman"/>
          <w:sz w:val="24"/>
          <w:szCs w:val="24"/>
        </w:rPr>
        <w:t xml:space="preserve">a connu un grand succès auprès des habitants de tout âge et tout quartier ! Nous estimons que près de 500 personnes ont été impliquées directement ou indirectement dans le défi. </w:t>
      </w:r>
      <w:r w:rsidR="00750EEE">
        <w:rPr>
          <w:rFonts w:ascii="Times New Roman" w:hAnsi="Times New Roman" w:cs="Times New Roman"/>
          <w:sz w:val="24"/>
          <w:szCs w:val="24"/>
        </w:rPr>
        <w:t>Parmi les 38 défis, l</w:t>
      </w:r>
      <w:r>
        <w:rPr>
          <w:rFonts w:ascii="Times New Roman" w:hAnsi="Times New Roman" w:cs="Times New Roman"/>
          <w:sz w:val="24"/>
          <w:szCs w:val="24"/>
        </w:rPr>
        <w:t xml:space="preserve">a marche et le vélo ont particulièrement séduit. Certains participants ont été extrêmement créatifs, se choisissant des défis sur-mesure. La quasi-totalité des équipes a réalisé son défi, une </w:t>
      </w:r>
      <w:r w:rsidR="00750EEE">
        <w:rPr>
          <w:rFonts w:ascii="Times New Roman" w:hAnsi="Times New Roman" w:cs="Times New Roman"/>
          <w:sz w:val="24"/>
          <w:szCs w:val="24"/>
        </w:rPr>
        <w:t>dynamique</w:t>
      </w:r>
      <w:r>
        <w:rPr>
          <w:rFonts w:ascii="Times New Roman" w:hAnsi="Times New Roman" w:cs="Times New Roman"/>
          <w:sz w:val="24"/>
          <w:szCs w:val="24"/>
        </w:rPr>
        <w:t xml:space="preserve"> à encourager !</w:t>
      </w:r>
      <w:r w:rsidR="00C00DCA">
        <w:rPr>
          <w:rFonts w:ascii="Times New Roman" w:hAnsi="Times New Roman" w:cs="Times New Roman"/>
          <w:sz w:val="24"/>
          <w:szCs w:val="24"/>
        </w:rPr>
        <w:t xml:space="preserve"> Un</w:t>
      </w:r>
      <w:r w:rsidR="000D70E1">
        <w:rPr>
          <w:rFonts w:ascii="Times New Roman" w:hAnsi="Times New Roman" w:cs="Times New Roman"/>
          <w:sz w:val="24"/>
          <w:szCs w:val="24"/>
        </w:rPr>
        <w:t>e</w:t>
      </w:r>
      <w:r w:rsidR="00C00DCA">
        <w:rPr>
          <w:rFonts w:ascii="Times New Roman" w:hAnsi="Times New Roman" w:cs="Times New Roman"/>
          <w:sz w:val="24"/>
          <w:szCs w:val="24"/>
        </w:rPr>
        <w:t xml:space="preserve"> sensibilisation à long terme est à l’œuvre…</w:t>
      </w:r>
    </w:p>
    <w:p w:rsidR="009D62DE" w:rsidRPr="009D62DE" w:rsidRDefault="009D62DE">
      <w:pPr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9D62DE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PERSPECTIVES</w:t>
      </w:r>
    </w:p>
    <w:p w:rsidR="009D62DE" w:rsidRDefault="009D62DE" w:rsidP="006C6B53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Cartographie des itinéraires cyclables</w:t>
      </w:r>
      <w:r w:rsidR="006C6B53">
        <w:rPr>
          <w:rFonts w:ascii="Times New Roman" w:hAnsi="Times New Roman" w:cs="Times New Roman"/>
          <w:sz w:val="24"/>
          <w:szCs w:val="24"/>
        </w:rPr>
        <w:t xml:space="preserve"> (Serv</w:t>
      </w:r>
      <w:r w:rsidR="00CA0C55">
        <w:rPr>
          <w:rFonts w:ascii="Times New Roman" w:hAnsi="Times New Roman" w:cs="Times New Roman"/>
          <w:sz w:val="24"/>
          <w:szCs w:val="24"/>
        </w:rPr>
        <w:t>i</w:t>
      </w:r>
      <w:r w:rsidR="006C6B53">
        <w:rPr>
          <w:rFonts w:ascii="Times New Roman" w:hAnsi="Times New Roman" w:cs="Times New Roman"/>
          <w:sz w:val="24"/>
          <w:szCs w:val="24"/>
        </w:rPr>
        <w:t>ces Techniques, ADAV)</w:t>
      </w:r>
    </w:p>
    <w:p w:rsidR="009D62DE" w:rsidRPr="000D70E1" w:rsidRDefault="009D62DE" w:rsidP="000D70E1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Aménagements cyclables</w:t>
      </w:r>
      <w:r w:rsidR="000D70E1">
        <w:rPr>
          <w:rFonts w:ascii="Times New Roman" w:hAnsi="Times New Roman" w:cs="Times New Roman"/>
          <w:sz w:val="24"/>
          <w:szCs w:val="24"/>
        </w:rPr>
        <w:t xml:space="preserve"> + </w:t>
      </w:r>
      <w:r w:rsidR="006C6B53" w:rsidRPr="000D70E1">
        <w:rPr>
          <w:rFonts w:ascii="Times New Roman" w:hAnsi="Times New Roman" w:cs="Times New Roman"/>
          <w:sz w:val="24"/>
          <w:szCs w:val="24"/>
        </w:rPr>
        <w:t>Aménagement-test des abords des écoles</w:t>
      </w:r>
    </w:p>
    <w:p w:rsidR="009D62DE" w:rsidRDefault="009D62DE" w:rsidP="006C6B53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Equipement</w:t>
      </w:r>
      <w:r w:rsidR="006C6B53">
        <w:rPr>
          <w:rFonts w:ascii="Times New Roman" w:hAnsi="Times New Roman" w:cs="Times New Roman"/>
          <w:sz w:val="24"/>
          <w:szCs w:val="24"/>
        </w:rPr>
        <w:t xml:space="preserve"> : vélos, trottinettes, VAE, rollers, skate, </w:t>
      </w:r>
      <w:proofErr w:type="spellStart"/>
      <w:r w:rsidR="006C6B53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9D62DE" w:rsidRDefault="009D62DE" w:rsidP="006C6B53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</w:t>
      </w:r>
      <w:r w:rsidR="006C6B53">
        <w:rPr>
          <w:rFonts w:ascii="Times New Roman" w:hAnsi="Times New Roman" w:cs="Times New Roman"/>
          <w:sz w:val="24"/>
          <w:szCs w:val="24"/>
        </w:rPr>
        <w:t xml:space="preserve"> auprès des automobilistes sur le respect des modes doux</w:t>
      </w:r>
    </w:p>
    <w:p w:rsidR="009D62DE" w:rsidRDefault="009D62DE" w:rsidP="006C6B53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Ouverture de lieux de réparation (</w:t>
      </w:r>
      <w:proofErr w:type="spellStart"/>
      <w:r w:rsidR="006C6B53">
        <w:rPr>
          <w:rFonts w:ascii="Times New Roman" w:hAnsi="Times New Roman" w:cs="Times New Roman"/>
          <w:sz w:val="24"/>
          <w:szCs w:val="24"/>
        </w:rPr>
        <w:t>Menadel</w:t>
      </w:r>
      <w:proofErr w:type="spellEnd"/>
      <w:r w:rsidR="006C6B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6B53">
        <w:rPr>
          <w:rFonts w:ascii="Times New Roman" w:hAnsi="Times New Roman" w:cs="Times New Roman"/>
          <w:sz w:val="24"/>
          <w:szCs w:val="24"/>
        </w:rPr>
        <w:t>PorteMine</w:t>
      </w:r>
      <w:proofErr w:type="spellEnd"/>
      <w:r w:rsidR="006C6B53">
        <w:rPr>
          <w:rFonts w:ascii="Times New Roman" w:hAnsi="Times New Roman" w:cs="Times New Roman"/>
          <w:sz w:val="24"/>
          <w:szCs w:val="24"/>
        </w:rPr>
        <w:t>), intensification des échanges</w:t>
      </w:r>
    </w:p>
    <w:p w:rsidR="000D70E1" w:rsidRDefault="006C6B53" w:rsidP="006C6B53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Analyse de l’impact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MobiLoos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 les politiques publiques à long terme et sur les comportements des habitants en matière de mobilité</w:t>
      </w:r>
      <w:r w:rsidR="00C00DCA">
        <w:rPr>
          <w:rFonts w:ascii="Times New Roman" w:hAnsi="Times New Roman" w:cs="Times New Roman"/>
          <w:sz w:val="24"/>
          <w:szCs w:val="24"/>
        </w:rPr>
        <w:t xml:space="preserve"> durable/solidaire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6B53" w:rsidRPr="009D62DE" w:rsidRDefault="000D70E1" w:rsidP="006C6B53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Trouver et tester outil pour organiser le co-voiturage à la Base 11-19</w:t>
      </w:r>
      <w:r w:rsidR="006C6B5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C6B53" w:rsidRPr="009D62DE" w:rsidSect="00AA16F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19A5"/>
    <w:multiLevelType w:val="hybridMultilevel"/>
    <w:tmpl w:val="35E28F64"/>
    <w:lvl w:ilvl="0" w:tplc="21F04FE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44D5C"/>
    <w:multiLevelType w:val="hybridMultilevel"/>
    <w:tmpl w:val="147E9C88"/>
    <w:lvl w:ilvl="0" w:tplc="224C2EF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D261E"/>
    <w:multiLevelType w:val="hybridMultilevel"/>
    <w:tmpl w:val="4CB2D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34"/>
    <w:rsid w:val="000D70E1"/>
    <w:rsid w:val="001F5838"/>
    <w:rsid w:val="00255756"/>
    <w:rsid w:val="002B2147"/>
    <w:rsid w:val="00400E42"/>
    <w:rsid w:val="00414389"/>
    <w:rsid w:val="006C6B53"/>
    <w:rsid w:val="00750EEE"/>
    <w:rsid w:val="007E722E"/>
    <w:rsid w:val="00944D23"/>
    <w:rsid w:val="00953494"/>
    <w:rsid w:val="009D62DE"/>
    <w:rsid w:val="00A75323"/>
    <w:rsid w:val="00AA16F5"/>
    <w:rsid w:val="00B547AA"/>
    <w:rsid w:val="00B75FB0"/>
    <w:rsid w:val="00BD4634"/>
    <w:rsid w:val="00BD606E"/>
    <w:rsid w:val="00BF2B63"/>
    <w:rsid w:val="00C00DCA"/>
    <w:rsid w:val="00C8388F"/>
    <w:rsid w:val="00CA0C55"/>
    <w:rsid w:val="00CD3BAA"/>
    <w:rsid w:val="00D7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F23B8-077B-4F41-B27C-7EE9A1BB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6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557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7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7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des Ponts Paristech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TOLLIS</dc:creator>
  <cp:keywords/>
  <dc:description/>
  <cp:lastModifiedBy>Sandrine FOURNIALS</cp:lastModifiedBy>
  <cp:revision>2</cp:revision>
  <cp:lastPrinted>2018-10-15T11:12:00Z</cp:lastPrinted>
  <dcterms:created xsi:type="dcterms:W3CDTF">2018-10-25T08:37:00Z</dcterms:created>
  <dcterms:modified xsi:type="dcterms:W3CDTF">2018-10-25T08:37:00Z</dcterms:modified>
</cp:coreProperties>
</file>